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737E" w:rsidRPr="00BA4798" w:rsidRDefault="0045737E">
      <w:pPr>
        <w:pStyle w:val="Title"/>
        <w:rPr>
          <w:color w:val="002060"/>
        </w:rPr>
      </w:pPr>
      <w:r w:rsidRPr="00BA4798">
        <w:rPr>
          <w:rFonts w:ascii="Times New Roman" w:hAnsi="Times New Roman" w:cs="Times New Roman"/>
          <w:color w:val="002060"/>
          <w:sz w:val="28"/>
        </w:rPr>
        <w:t xml:space="preserve">  Marketline Monthly, </w:t>
      </w:r>
      <w:r w:rsidR="00464AEE" w:rsidRPr="00BA4798">
        <w:rPr>
          <w:rFonts w:ascii="Times New Roman" w:hAnsi="Times New Roman" w:cs="Times New Roman"/>
          <w:color w:val="002060"/>
          <w:sz w:val="28"/>
        </w:rPr>
        <w:t>November</w:t>
      </w:r>
      <w:r w:rsidR="00FF44D9" w:rsidRPr="00BA4798">
        <w:rPr>
          <w:rFonts w:ascii="Times New Roman" w:hAnsi="Times New Roman" w:cs="Times New Roman"/>
          <w:color w:val="002060"/>
          <w:sz w:val="28"/>
        </w:rPr>
        <w:t xml:space="preserve"> </w:t>
      </w:r>
      <w:r w:rsidRPr="00BA4798">
        <w:rPr>
          <w:rFonts w:ascii="Times New Roman" w:hAnsi="Times New Roman" w:cs="Times New Roman"/>
          <w:color w:val="002060"/>
          <w:sz w:val="28"/>
        </w:rPr>
        <w:t>2013</w:t>
      </w:r>
    </w:p>
    <w:p w:rsidR="0045737E" w:rsidRDefault="0045737E">
      <w:pPr>
        <w:tabs>
          <w:tab w:val="center" w:pos="4680"/>
        </w:tabs>
        <w:ind w:left="-450" w:firstLine="90"/>
        <w:rPr>
          <w:rFonts w:ascii="Times New Roman" w:hAnsi="Times New Roman" w:cs="Times New Roman"/>
          <w:b/>
          <w:i/>
          <w:color w:val="0070C0"/>
        </w:rPr>
      </w:pPr>
      <w:r>
        <w:pict>
          <v:line id="_x0000_s1026" style="position:absolute;left:0;text-align:left;z-index:251656192" from="-18.65pt,7.75pt" to="493.25pt,7.75pt" strokecolor="#004586" strokeweight=".26mm">
            <v:stroke color2="#ffba79" joinstyle="miter" endcap="square"/>
          </v:line>
        </w:pict>
      </w:r>
    </w:p>
    <w:p w:rsidR="009F3367" w:rsidRDefault="0045737E" w:rsidP="009F3367">
      <w:pPr>
        <w:tabs>
          <w:tab w:val="center" w:pos="4680"/>
        </w:tabs>
        <w:ind w:left="-450" w:firstLine="90"/>
        <w:rPr>
          <w:rFonts w:ascii="Times New Roman" w:hAnsi="Times New Roman" w:cs="Times New Roman"/>
          <w:sz w:val="21"/>
          <w:szCs w:val="21"/>
        </w:rPr>
      </w:pPr>
      <w:r>
        <w:rPr>
          <w:rFonts w:ascii="Times New Roman" w:hAnsi="Times New Roman" w:cs="Times New Roman"/>
          <w:b/>
          <w:i/>
        </w:rPr>
        <w:t>Domestic Stocks</w:t>
      </w:r>
    </w:p>
    <w:p w:rsidR="00FF44D9" w:rsidRPr="001B4C89" w:rsidRDefault="001B4C89" w:rsidP="00914108">
      <w:pPr>
        <w:tabs>
          <w:tab w:val="center" w:pos="4680"/>
        </w:tabs>
        <w:ind w:left="-360"/>
        <w:jc w:val="both"/>
        <w:rPr>
          <w:rFonts w:ascii="Times New Roman" w:hAnsi="Times New Roman" w:cs="Times New Roman"/>
          <w:sz w:val="20"/>
        </w:rPr>
      </w:pPr>
      <w:r w:rsidRPr="001B4C89">
        <w:rPr>
          <w:rFonts w:ascii="Times New Roman" w:hAnsi="Times New Roman" w:cs="Times New Roman"/>
          <w:sz w:val="20"/>
        </w:rPr>
        <w:t xml:space="preserve">The Dow surged another 3.5% last month, the </w:t>
      </w:r>
      <w:r w:rsidR="007B2D0A">
        <w:rPr>
          <w:rFonts w:ascii="Times New Roman" w:hAnsi="Times New Roman" w:cs="Times New Roman"/>
          <w:sz w:val="20"/>
        </w:rPr>
        <w:t>NASDAQ</w:t>
      </w:r>
      <w:r w:rsidRPr="001B4C89">
        <w:rPr>
          <w:rFonts w:ascii="Times New Roman" w:hAnsi="Times New Roman" w:cs="Times New Roman"/>
          <w:sz w:val="20"/>
        </w:rPr>
        <w:t xml:space="preserve"> matching with 3.6%. The S&amp;P lagged slightly at 2.7%. This will be one of the best stock market years on record. </w:t>
      </w:r>
    </w:p>
    <w:p w:rsidR="00914108" w:rsidRPr="001B4C89" w:rsidRDefault="00914108" w:rsidP="00914108">
      <w:pPr>
        <w:tabs>
          <w:tab w:val="center" w:pos="4680"/>
        </w:tabs>
        <w:ind w:left="-360"/>
        <w:jc w:val="both"/>
        <w:rPr>
          <w:rFonts w:ascii="Times New Roman" w:hAnsi="Times New Roman" w:cs="Times New Roman"/>
          <w:sz w:val="20"/>
        </w:rPr>
      </w:pPr>
    </w:p>
    <w:p w:rsidR="000551DD" w:rsidRPr="001B4C89" w:rsidRDefault="00551E47" w:rsidP="00DC2A1B">
      <w:pPr>
        <w:tabs>
          <w:tab w:val="center" w:pos="4680"/>
        </w:tabs>
        <w:ind w:left="-360"/>
        <w:jc w:val="both"/>
        <w:rPr>
          <w:rFonts w:ascii="Times New Roman" w:hAnsi="Times New Roman" w:cs="Times New Roman"/>
          <w:sz w:val="20"/>
        </w:rPr>
      </w:pPr>
      <w:r w:rsidRPr="001B4C89">
        <w:rPr>
          <w:rFonts w:ascii="Times New Roman" w:hAnsi="Times New Roman" w:cs="Times New Roman"/>
          <w:sz w:val="20"/>
        </w:rPr>
        <w:t>This month’s “common question” is: now that the market is trading at new highs, wh</w:t>
      </w:r>
      <w:r w:rsidR="000551DD" w:rsidRPr="001B4C89">
        <w:rPr>
          <w:rFonts w:ascii="Times New Roman" w:hAnsi="Times New Roman" w:cs="Times New Roman"/>
          <w:sz w:val="20"/>
        </w:rPr>
        <w:t>at do we do about protecting</w:t>
      </w:r>
      <w:r w:rsidRPr="001B4C89">
        <w:rPr>
          <w:rFonts w:ascii="Times New Roman" w:hAnsi="Times New Roman" w:cs="Times New Roman"/>
          <w:sz w:val="20"/>
        </w:rPr>
        <w:t xml:space="preserve"> portfolio</w:t>
      </w:r>
      <w:r w:rsidR="000551DD" w:rsidRPr="001B4C89">
        <w:rPr>
          <w:rFonts w:ascii="Times New Roman" w:hAnsi="Times New Roman" w:cs="Times New Roman"/>
          <w:sz w:val="20"/>
        </w:rPr>
        <w:t>s</w:t>
      </w:r>
      <w:r w:rsidRPr="001B4C89">
        <w:rPr>
          <w:rFonts w:ascii="Times New Roman" w:hAnsi="Times New Roman" w:cs="Times New Roman"/>
          <w:sz w:val="20"/>
        </w:rPr>
        <w:t xml:space="preserve"> in the inevitable crash?</w:t>
      </w:r>
      <w:r w:rsidR="000551DD" w:rsidRPr="001B4C89">
        <w:rPr>
          <w:rFonts w:ascii="Times New Roman" w:hAnsi="Times New Roman" w:cs="Times New Roman"/>
          <w:sz w:val="20"/>
        </w:rPr>
        <w:t xml:space="preserve"> On the one hand we like this question because it </w:t>
      </w:r>
      <w:r w:rsidRPr="001B4C89">
        <w:rPr>
          <w:rFonts w:ascii="Times New Roman" w:hAnsi="Times New Roman" w:cs="Times New Roman"/>
          <w:sz w:val="20"/>
        </w:rPr>
        <w:t>means that there’s stil</w:t>
      </w:r>
      <w:r w:rsidR="00DC2A1B" w:rsidRPr="001B4C89">
        <w:rPr>
          <w:rFonts w:ascii="Times New Roman" w:hAnsi="Times New Roman" w:cs="Times New Roman"/>
          <w:sz w:val="20"/>
        </w:rPr>
        <w:t>l a lot of pessimism out there</w:t>
      </w:r>
      <w:r w:rsidR="008C18D9" w:rsidRPr="001B4C89">
        <w:rPr>
          <w:rFonts w:ascii="Times New Roman" w:hAnsi="Times New Roman" w:cs="Times New Roman"/>
          <w:sz w:val="20"/>
        </w:rPr>
        <w:t xml:space="preserve"> – including some of our own!</w:t>
      </w:r>
      <w:r w:rsidR="00DC2A1B" w:rsidRPr="001B4C89">
        <w:rPr>
          <w:rFonts w:ascii="Times New Roman" w:hAnsi="Times New Roman" w:cs="Times New Roman"/>
          <w:sz w:val="20"/>
        </w:rPr>
        <w:t xml:space="preserve"> Pessimism means there’s still buying power in the market</w:t>
      </w:r>
      <w:r w:rsidR="00404A86" w:rsidRPr="001B4C89">
        <w:rPr>
          <w:rFonts w:ascii="Times New Roman" w:hAnsi="Times New Roman" w:cs="Times New Roman"/>
          <w:sz w:val="20"/>
        </w:rPr>
        <w:t xml:space="preserve"> and stocks can still go up</w:t>
      </w:r>
      <w:r w:rsidR="00DC2A1B" w:rsidRPr="001B4C89">
        <w:rPr>
          <w:rFonts w:ascii="Times New Roman" w:hAnsi="Times New Roman" w:cs="Times New Roman"/>
          <w:sz w:val="20"/>
        </w:rPr>
        <w:t>. On the other hand, the question of protection is odd</w:t>
      </w:r>
      <w:r w:rsidR="000551DD" w:rsidRPr="001B4C89">
        <w:rPr>
          <w:rFonts w:ascii="Times New Roman" w:hAnsi="Times New Roman" w:cs="Times New Roman"/>
          <w:sz w:val="20"/>
        </w:rPr>
        <w:t>, becaus</w:t>
      </w:r>
      <w:r w:rsidR="00C71956" w:rsidRPr="001B4C89">
        <w:rPr>
          <w:rFonts w:ascii="Times New Roman" w:hAnsi="Times New Roman" w:cs="Times New Roman"/>
          <w:sz w:val="20"/>
        </w:rPr>
        <w:t xml:space="preserve">e stock investors </w:t>
      </w:r>
      <w:r w:rsidR="00404A86" w:rsidRPr="001B4C89">
        <w:rPr>
          <w:rFonts w:ascii="Times New Roman" w:hAnsi="Times New Roman" w:cs="Times New Roman"/>
          <w:sz w:val="20"/>
        </w:rPr>
        <w:t>know that stocks</w:t>
      </w:r>
      <w:r w:rsidR="00DC2A1B" w:rsidRPr="001B4C89">
        <w:rPr>
          <w:rFonts w:ascii="Times New Roman" w:hAnsi="Times New Roman" w:cs="Times New Roman"/>
          <w:sz w:val="20"/>
        </w:rPr>
        <w:t xml:space="preserve"> fluctuate</w:t>
      </w:r>
      <w:r w:rsidR="000551DD" w:rsidRPr="001B4C89">
        <w:rPr>
          <w:rFonts w:ascii="Times New Roman" w:hAnsi="Times New Roman" w:cs="Times New Roman"/>
          <w:sz w:val="20"/>
        </w:rPr>
        <w:t xml:space="preserve"> unpredictably</w:t>
      </w:r>
      <w:r w:rsidR="00C71956" w:rsidRPr="001B4C89">
        <w:rPr>
          <w:rFonts w:ascii="Times New Roman" w:hAnsi="Times New Roman" w:cs="Times New Roman"/>
          <w:sz w:val="20"/>
        </w:rPr>
        <w:t xml:space="preserve"> and always have</w:t>
      </w:r>
      <w:r w:rsidR="000551DD" w:rsidRPr="001B4C89">
        <w:rPr>
          <w:rFonts w:ascii="Times New Roman" w:hAnsi="Times New Roman" w:cs="Times New Roman"/>
          <w:sz w:val="20"/>
        </w:rPr>
        <w:t>. Yet these same investors still want “protection”</w:t>
      </w:r>
      <w:r w:rsidR="00814DFC" w:rsidRPr="001B4C89">
        <w:rPr>
          <w:rFonts w:ascii="Times New Roman" w:hAnsi="Times New Roman" w:cs="Times New Roman"/>
          <w:sz w:val="20"/>
        </w:rPr>
        <w:t>, any type of which will dilute returns</w:t>
      </w:r>
      <w:r w:rsidR="000551DD" w:rsidRPr="001B4C89">
        <w:rPr>
          <w:rFonts w:ascii="Times New Roman" w:hAnsi="Times New Roman" w:cs="Times New Roman"/>
          <w:sz w:val="20"/>
        </w:rPr>
        <w:t xml:space="preserve">. </w:t>
      </w:r>
      <w:r w:rsidR="008C18D9" w:rsidRPr="001B4C89">
        <w:rPr>
          <w:rFonts w:ascii="Times New Roman" w:hAnsi="Times New Roman" w:cs="Times New Roman"/>
          <w:sz w:val="20"/>
        </w:rPr>
        <w:t>If an investor isn’t willing to put up with the volatility of stocks to get the return of stocks, t</w:t>
      </w:r>
      <w:r w:rsidR="000551DD" w:rsidRPr="001B4C89">
        <w:rPr>
          <w:rFonts w:ascii="Times New Roman" w:hAnsi="Times New Roman" w:cs="Times New Roman"/>
          <w:sz w:val="20"/>
        </w:rPr>
        <w:t>he best protection is not to</w:t>
      </w:r>
      <w:r w:rsidR="00DC2A1B" w:rsidRPr="001B4C89">
        <w:rPr>
          <w:rFonts w:ascii="Times New Roman" w:hAnsi="Times New Roman" w:cs="Times New Roman"/>
          <w:sz w:val="20"/>
        </w:rPr>
        <w:t xml:space="preserve"> invest in stocks</w:t>
      </w:r>
      <w:r w:rsidR="008C18D9" w:rsidRPr="001B4C89">
        <w:rPr>
          <w:rFonts w:ascii="Times New Roman" w:hAnsi="Times New Roman" w:cs="Times New Roman"/>
          <w:sz w:val="20"/>
        </w:rPr>
        <w:t xml:space="preserve"> at all</w:t>
      </w:r>
      <w:r w:rsidR="00DC2A1B" w:rsidRPr="001B4C89">
        <w:rPr>
          <w:rFonts w:ascii="Times New Roman" w:hAnsi="Times New Roman" w:cs="Times New Roman"/>
          <w:sz w:val="20"/>
        </w:rPr>
        <w:t>. Another alternative</w:t>
      </w:r>
      <w:r w:rsidR="008C18D9" w:rsidRPr="001B4C89">
        <w:rPr>
          <w:rFonts w:ascii="Times New Roman" w:hAnsi="Times New Roman" w:cs="Times New Roman"/>
          <w:sz w:val="20"/>
        </w:rPr>
        <w:t xml:space="preserve"> </w:t>
      </w:r>
      <w:r w:rsidR="00DC2A1B" w:rsidRPr="001B4C89">
        <w:rPr>
          <w:rFonts w:ascii="Times New Roman" w:hAnsi="Times New Roman" w:cs="Times New Roman"/>
          <w:sz w:val="20"/>
        </w:rPr>
        <w:t>is to time the market by selling when you think trouble is coming. We don’t do this because we don’t know how</w:t>
      </w:r>
      <w:r w:rsidR="008C18D9" w:rsidRPr="001B4C89">
        <w:rPr>
          <w:rFonts w:ascii="Times New Roman" w:hAnsi="Times New Roman" w:cs="Times New Roman"/>
          <w:sz w:val="20"/>
        </w:rPr>
        <w:t xml:space="preserve"> an</w:t>
      </w:r>
      <w:r w:rsidR="001B4C89" w:rsidRPr="001B4C89">
        <w:rPr>
          <w:rFonts w:ascii="Times New Roman" w:hAnsi="Times New Roman" w:cs="Times New Roman"/>
          <w:sz w:val="20"/>
        </w:rPr>
        <w:t>d it turns out no one else does either</w:t>
      </w:r>
      <w:r w:rsidR="00DC2A1B" w:rsidRPr="001B4C89">
        <w:rPr>
          <w:rFonts w:ascii="Times New Roman" w:hAnsi="Times New Roman" w:cs="Times New Roman"/>
          <w:sz w:val="20"/>
        </w:rPr>
        <w:t>. Or we could buy derivatives called “puts”, which constitute a bet t</w:t>
      </w:r>
      <w:r w:rsidR="00404A86" w:rsidRPr="001B4C89">
        <w:rPr>
          <w:rFonts w:ascii="Times New Roman" w:hAnsi="Times New Roman" w:cs="Times New Roman"/>
          <w:sz w:val="20"/>
        </w:rPr>
        <w:t>hat the market will drop. They are</w:t>
      </w:r>
      <w:r w:rsidR="00DC2A1B" w:rsidRPr="001B4C89">
        <w:rPr>
          <w:rFonts w:ascii="Times New Roman" w:hAnsi="Times New Roman" w:cs="Times New Roman"/>
          <w:sz w:val="20"/>
        </w:rPr>
        <w:t xml:space="preserve"> like an insurance policy. If the market drops, puts rise in price</w:t>
      </w:r>
      <w:r w:rsidR="00C71956" w:rsidRPr="001B4C89">
        <w:rPr>
          <w:rFonts w:ascii="Times New Roman" w:hAnsi="Times New Roman" w:cs="Times New Roman"/>
          <w:sz w:val="20"/>
        </w:rPr>
        <w:t>; if sold then, they can</w:t>
      </w:r>
      <w:r w:rsidR="00DC2A1B" w:rsidRPr="001B4C89">
        <w:rPr>
          <w:rFonts w:ascii="Times New Roman" w:hAnsi="Times New Roman" w:cs="Times New Roman"/>
          <w:sz w:val="20"/>
        </w:rPr>
        <w:t xml:space="preserve"> help offset the decline in the rest of the portfolio. Accounts must be certified individually to purchase puts, which involves setting up a margin account. A put is not an investment. It pays no income.</w:t>
      </w:r>
      <w:r w:rsidR="00C71956" w:rsidRPr="001B4C89">
        <w:rPr>
          <w:rFonts w:ascii="Times New Roman" w:hAnsi="Times New Roman" w:cs="Times New Roman"/>
          <w:sz w:val="20"/>
        </w:rPr>
        <w:t xml:space="preserve"> It has an expiration date, and if the market doesn’t drop by </w:t>
      </w:r>
      <w:r w:rsidR="001B4C89" w:rsidRPr="001B4C89">
        <w:rPr>
          <w:rFonts w:ascii="Times New Roman" w:hAnsi="Times New Roman" w:cs="Times New Roman"/>
          <w:sz w:val="20"/>
        </w:rPr>
        <w:t xml:space="preserve">then, </w:t>
      </w:r>
      <w:r w:rsidR="00C71956" w:rsidRPr="001B4C89">
        <w:rPr>
          <w:rFonts w:ascii="Times New Roman" w:hAnsi="Times New Roman" w:cs="Times New Roman"/>
          <w:sz w:val="20"/>
        </w:rPr>
        <w:t>the put</w:t>
      </w:r>
      <w:r w:rsidR="00DC2A1B" w:rsidRPr="001B4C89">
        <w:rPr>
          <w:rFonts w:ascii="Times New Roman" w:hAnsi="Times New Roman" w:cs="Times New Roman"/>
          <w:sz w:val="20"/>
        </w:rPr>
        <w:t xml:space="preserve"> expires wo</w:t>
      </w:r>
      <w:r w:rsidR="00C71956" w:rsidRPr="001B4C89">
        <w:rPr>
          <w:rFonts w:ascii="Times New Roman" w:hAnsi="Times New Roman" w:cs="Times New Roman"/>
          <w:sz w:val="20"/>
        </w:rPr>
        <w:t>rthless</w:t>
      </w:r>
      <w:r w:rsidR="00404A86" w:rsidRPr="001B4C89">
        <w:rPr>
          <w:rFonts w:ascii="Times New Roman" w:hAnsi="Times New Roman" w:cs="Times New Roman"/>
          <w:sz w:val="20"/>
        </w:rPr>
        <w:t xml:space="preserve"> and if you are still worried about the market you will have to buy another one</w:t>
      </w:r>
      <w:r w:rsidR="00C71956" w:rsidRPr="001B4C89">
        <w:rPr>
          <w:rFonts w:ascii="Times New Roman" w:hAnsi="Times New Roman" w:cs="Times New Roman"/>
          <w:sz w:val="20"/>
        </w:rPr>
        <w:t xml:space="preserve">. Also, it won’t protect the whole portfolio, only </w:t>
      </w:r>
      <w:r w:rsidR="0024223F" w:rsidRPr="001B4C89">
        <w:rPr>
          <w:rFonts w:ascii="Times New Roman" w:hAnsi="Times New Roman" w:cs="Times New Roman"/>
          <w:sz w:val="20"/>
        </w:rPr>
        <w:t>part</w:t>
      </w:r>
      <w:r w:rsidR="00C71956" w:rsidRPr="001B4C89">
        <w:rPr>
          <w:rFonts w:ascii="Times New Roman" w:hAnsi="Times New Roman" w:cs="Times New Roman"/>
          <w:sz w:val="20"/>
        </w:rPr>
        <w:t xml:space="preserve"> of it, and </w:t>
      </w:r>
      <w:r w:rsidR="00404A86" w:rsidRPr="001B4C89">
        <w:rPr>
          <w:rFonts w:ascii="Times New Roman" w:hAnsi="Times New Roman" w:cs="Times New Roman"/>
          <w:sz w:val="20"/>
        </w:rPr>
        <w:t>buying and selling them costs money.</w:t>
      </w:r>
      <w:r w:rsidR="00C71956" w:rsidRPr="001B4C89">
        <w:rPr>
          <w:rFonts w:ascii="Times New Roman" w:hAnsi="Times New Roman" w:cs="Times New Roman"/>
          <w:sz w:val="20"/>
        </w:rPr>
        <w:t xml:space="preserve"> </w:t>
      </w:r>
      <w:r w:rsidR="008C18D9" w:rsidRPr="001B4C89">
        <w:rPr>
          <w:rFonts w:ascii="Times New Roman" w:hAnsi="Times New Roman" w:cs="Times New Roman"/>
          <w:sz w:val="20"/>
        </w:rPr>
        <w:t xml:space="preserve">The put strategy decreases returns in exchange for less risk. </w:t>
      </w:r>
    </w:p>
    <w:p w:rsidR="00C71956" w:rsidRPr="001B4C89" w:rsidRDefault="00C71956" w:rsidP="00DC2A1B">
      <w:pPr>
        <w:tabs>
          <w:tab w:val="center" w:pos="4680"/>
        </w:tabs>
        <w:ind w:left="-360"/>
        <w:jc w:val="both"/>
        <w:rPr>
          <w:rFonts w:ascii="Times New Roman" w:hAnsi="Times New Roman" w:cs="Times New Roman"/>
          <w:sz w:val="20"/>
        </w:rPr>
      </w:pPr>
    </w:p>
    <w:p w:rsidR="00C71956" w:rsidRPr="001B4C89" w:rsidRDefault="00404A86" w:rsidP="00DC2A1B">
      <w:pPr>
        <w:tabs>
          <w:tab w:val="center" w:pos="4680"/>
        </w:tabs>
        <w:ind w:left="-360"/>
        <w:jc w:val="both"/>
        <w:rPr>
          <w:rFonts w:ascii="Times New Roman" w:hAnsi="Times New Roman" w:cs="Times New Roman"/>
          <w:sz w:val="20"/>
        </w:rPr>
      </w:pPr>
      <w:r w:rsidRPr="001B4C89">
        <w:rPr>
          <w:rFonts w:ascii="Times New Roman" w:hAnsi="Times New Roman" w:cs="Times New Roman"/>
          <w:i/>
          <w:sz w:val="20"/>
        </w:rPr>
        <w:t>Our approach</w:t>
      </w:r>
      <w:r w:rsidR="008C18D9" w:rsidRPr="001B4C89">
        <w:rPr>
          <w:rFonts w:ascii="Times New Roman" w:hAnsi="Times New Roman" w:cs="Times New Roman"/>
          <w:sz w:val="20"/>
        </w:rPr>
        <w:t xml:space="preserve"> </w:t>
      </w:r>
      <w:r w:rsidR="003F4A3A" w:rsidRPr="001B4C89">
        <w:rPr>
          <w:rFonts w:ascii="Times New Roman" w:hAnsi="Times New Roman" w:cs="Times New Roman"/>
          <w:sz w:val="20"/>
        </w:rPr>
        <w:t>begins with</w:t>
      </w:r>
      <w:r w:rsidR="008C18D9" w:rsidRPr="001B4C89">
        <w:rPr>
          <w:rFonts w:ascii="Times New Roman" w:hAnsi="Times New Roman" w:cs="Times New Roman"/>
          <w:sz w:val="20"/>
        </w:rPr>
        <w:t xml:space="preserve"> distinguish</w:t>
      </w:r>
      <w:r w:rsidR="003F4A3A" w:rsidRPr="001B4C89">
        <w:rPr>
          <w:rFonts w:ascii="Times New Roman" w:hAnsi="Times New Roman" w:cs="Times New Roman"/>
          <w:sz w:val="20"/>
        </w:rPr>
        <w:t>ing</w:t>
      </w:r>
      <w:r w:rsidR="008C18D9" w:rsidRPr="001B4C89">
        <w:rPr>
          <w:rFonts w:ascii="Times New Roman" w:hAnsi="Times New Roman" w:cs="Times New Roman"/>
          <w:sz w:val="20"/>
        </w:rPr>
        <w:t xml:space="preserve"> between “the market” and “our </w:t>
      </w:r>
      <w:r w:rsidRPr="001B4C89">
        <w:rPr>
          <w:rFonts w:ascii="Times New Roman" w:hAnsi="Times New Roman" w:cs="Times New Roman"/>
          <w:sz w:val="20"/>
        </w:rPr>
        <w:t>stocks”. Since we don’t know how to predict the market, but we</w:t>
      </w:r>
      <w:r w:rsidR="00814DFC" w:rsidRPr="001B4C89">
        <w:rPr>
          <w:rFonts w:ascii="Times New Roman" w:hAnsi="Times New Roman" w:cs="Times New Roman"/>
          <w:sz w:val="20"/>
        </w:rPr>
        <w:t xml:space="preserve"> do</w:t>
      </w:r>
      <w:r w:rsidRPr="001B4C89">
        <w:rPr>
          <w:rFonts w:ascii="Times New Roman" w:hAnsi="Times New Roman" w:cs="Times New Roman"/>
          <w:sz w:val="20"/>
        </w:rPr>
        <w:t xml:space="preserve"> know a lot about our stocks, this approach makes sense to us. The most efficient way of dealing with expensive stocks is to sell them and repurchase cheap stocks. This is what we do every day – well, not every single day, but it’s what we strive to do on an ongoing basis. If we can’t find cheap stocks, then we will buy bonds or sometimes keep cash for a while. The level of the market has no effect on this strategy. The strategy remains the same at Dow 9000 as at Dow 16,000. </w:t>
      </w:r>
      <w:r w:rsidR="00814DFC" w:rsidRPr="001B4C89">
        <w:rPr>
          <w:rFonts w:ascii="Times New Roman" w:hAnsi="Times New Roman" w:cs="Times New Roman"/>
          <w:sz w:val="20"/>
        </w:rPr>
        <w:t xml:space="preserve">What changes is how many stocks seem expensive and how many stocks seem cheap. At Dow 16,000, fewer stocks are cheap and more are expensive, so we may end up with more cash than “normal”.  We recently sold an oil service company. But we also bought a genetics testing company and added to a couple retail stocks. </w:t>
      </w:r>
    </w:p>
    <w:p w:rsidR="008C18D9" w:rsidRPr="001B4C89" w:rsidRDefault="008C18D9" w:rsidP="00DC2A1B">
      <w:pPr>
        <w:tabs>
          <w:tab w:val="center" w:pos="4680"/>
        </w:tabs>
        <w:ind w:left="-360"/>
        <w:jc w:val="both"/>
        <w:rPr>
          <w:rFonts w:ascii="Times New Roman" w:hAnsi="Times New Roman" w:cs="Times New Roman"/>
          <w:sz w:val="20"/>
        </w:rPr>
      </w:pPr>
    </w:p>
    <w:p w:rsidR="008C18D9" w:rsidRPr="001B4C89" w:rsidRDefault="008C18D9" w:rsidP="00DC2A1B">
      <w:pPr>
        <w:tabs>
          <w:tab w:val="center" w:pos="4680"/>
        </w:tabs>
        <w:ind w:left="-360"/>
        <w:jc w:val="both"/>
        <w:rPr>
          <w:rFonts w:ascii="Times New Roman" w:hAnsi="Times New Roman" w:cs="Times New Roman"/>
          <w:sz w:val="20"/>
        </w:rPr>
      </w:pPr>
      <w:r w:rsidRPr="001B4C89">
        <w:rPr>
          <w:rFonts w:ascii="Times New Roman" w:hAnsi="Times New Roman" w:cs="Times New Roman"/>
          <w:sz w:val="20"/>
        </w:rPr>
        <w:t xml:space="preserve">Finally nearly every portfolio owns stocks </w:t>
      </w:r>
      <w:r w:rsidRPr="001B4C89">
        <w:rPr>
          <w:rFonts w:ascii="Times New Roman" w:hAnsi="Times New Roman" w:cs="Times New Roman"/>
          <w:b/>
          <w:sz w:val="20"/>
        </w:rPr>
        <w:t>and</w:t>
      </w:r>
      <w:r w:rsidRPr="001B4C89">
        <w:rPr>
          <w:rFonts w:ascii="Times New Roman" w:hAnsi="Times New Roman" w:cs="Times New Roman"/>
          <w:sz w:val="20"/>
        </w:rPr>
        <w:t xml:space="preserve"> bonds. Often, bonds rise while stocks fall. That protection can help in a big market swoon but it is no</w:t>
      </w:r>
      <w:r w:rsidR="0024223F" w:rsidRPr="001B4C89">
        <w:rPr>
          <w:rFonts w:ascii="Times New Roman" w:hAnsi="Times New Roman" w:cs="Times New Roman"/>
          <w:sz w:val="20"/>
        </w:rPr>
        <w:t xml:space="preserve">t completely reliable. </w:t>
      </w:r>
      <w:r w:rsidR="001B4C89" w:rsidRPr="001B4C89">
        <w:rPr>
          <w:rFonts w:ascii="Times New Roman" w:hAnsi="Times New Roman" w:cs="Times New Roman"/>
          <w:sz w:val="20"/>
        </w:rPr>
        <w:t>Nothing can keep a stock portfolio from losing money if the stock market goes down a lot. So, always, your stock position should match your investing intent, and your attitude about volatility should synch with how you use your funds.</w:t>
      </w:r>
    </w:p>
    <w:p w:rsidR="0045737E" w:rsidRPr="005D302A" w:rsidRDefault="005D302A" w:rsidP="005D302A">
      <w:pPr>
        <w:tabs>
          <w:tab w:val="center" w:pos="4680"/>
        </w:tabs>
        <w:ind w:left="-360"/>
        <w:jc w:val="both"/>
        <w:rPr>
          <w:sz w:val="22"/>
          <w:szCs w:val="22"/>
        </w:rPr>
      </w:pPr>
      <w:r>
        <w:pict>
          <v:line id="_x0000_s1027" style="position:absolute;left:0;text-align:left;z-index:251657216" from="-17.45pt,5.6pt" to="494.45pt,5.6pt" strokecolor="#004586" strokeweight=".26mm">
            <v:stroke color2="#ffba79" joinstyle="miter" endcap="square"/>
          </v:line>
        </w:pict>
      </w:r>
    </w:p>
    <w:p w:rsidR="009F3367" w:rsidRDefault="0045737E" w:rsidP="009F3367">
      <w:pPr>
        <w:autoSpaceDE w:val="0"/>
        <w:ind w:left="-360"/>
        <w:jc w:val="both"/>
        <w:rPr>
          <w:rFonts w:ascii="Times New Roman" w:hAnsi="Times New Roman" w:cs="Times New Roman"/>
          <w:sz w:val="21"/>
          <w:szCs w:val="21"/>
        </w:rPr>
      </w:pPr>
      <w:r>
        <w:rPr>
          <w:rFonts w:ascii="Times New Roman" w:hAnsi="Times New Roman" w:cs="Times New Roman"/>
          <w:b/>
          <w:i/>
        </w:rPr>
        <w:t xml:space="preserve">Fixed Income </w:t>
      </w:r>
    </w:p>
    <w:p w:rsidR="00EC5CB3" w:rsidRDefault="001B4C89">
      <w:pPr>
        <w:autoSpaceDE w:val="0"/>
        <w:ind w:left="-360"/>
        <w:jc w:val="both"/>
        <w:rPr>
          <w:rFonts w:ascii="Times New Roman" w:hAnsi="Times New Roman" w:cs="Times New Roman"/>
          <w:sz w:val="21"/>
          <w:szCs w:val="21"/>
        </w:rPr>
      </w:pPr>
      <w:r>
        <w:rPr>
          <w:rFonts w:ascii="Times New Roman" w:hAnsi="Times New Roman" w:cs="Times New Roman"/>
          <w:sz w:val="21"/>
          <w:szCs w:val="21"/>
        </w:rPr>
        <w:t xml:space="preserve">Bonds sank last month to about the level of August/September, with the thirty year yielding 3.81%. The ten year closed at 2.74%. Notably, mention of taper recently resulted in a small bond market rally, opposite of what we should expect. </w:t>
      </w:r>
    </w:p>
    <w:p w:rsidR="001B4C89" w:rsidRDefault="001B4C89">
      <w:pPr>
        <w:autoSpaceDE w:val="0"/>
        <w:ind w:left="-360"/>
        <w:jc w:val="both"/>
        <w:rPr>
          <w:rFonts w:ascii="Times New Roman" w:hAnsi="Times New Roman" w:cs="Times New Roman"/>
          <w:sz w:val="21"/>
          <w:szCs w:val="21"/>
        </w:rPr>
      </w:pPr>
    </w:p>
    <w:p w:rsidR="001B4C89" w:rsidRDefault="001B4C89">
      <w:pPr>
        <w:autoSpaceDE w:val="0"/>
        <w:ind w:left="-360"/>
        <w:jc w:val="both"/>
        <w:rPr>
          <w:rFonts w:ascii="Times New Roman" w:hAnsi="Times New Roman" w:cs="Times New Roman"/>
          <w:sz w:val="21"/>
          <w:szCs w:val="21"/>
        </w:rPr>
      </w:pPr>
      <w:r>
        <w:rPr>
          <w:rFonts w:ascii="Times New Roman" w:hAnsi="Times New Roman" w:cs="Times New Roman"/>
          <w:sz w:val="21"/>
          <w:szCs w:val="21"/>
        </w:rPr>
        <w:t xml:space="preserve">Is this it? Is the sum total of this big bad bear market in bonds coming to a minus 2% on the Barclays bond index for the year and a yield of not even 4% on the long bond? If this bear market is for real, it better get going. Maybe 2014 will be the bond bear’s year, with a better economy in store. </w:t>
      </w:r>
    </w:p>
    <w:p w:rsidR="009C07A9" w:rsidRDefault="009C07A9">
      <w:pPr>
        <w:autoSpaceDE w:val="0"/>
        <w:ind w:left="-360"/>
        <w:jc w:val="both"/>
        <w:rPr>
          <w:rFonts w:ascii="Times New Roman" w:hAnsi="Times New Roman" w:cs="Times New Roman"/>
          <w:sz w:val="21"/>
          <w:szCs w:val="21"/>
        </w:rPr>
      </w:pPr>
    </w:p>
    <w:p w:rsidR="0045737E" w:rsidRDefault="0045737E">
      <w:pPr>
        <w:autoSpaceDE w:val="0"/>
        <w:ind w:left="-360"/>
        <w:jc w:val="both"/>
      </w:pPr>
      <w:r>
        <w:rPr>
          <w:rFonts w:ascii="Times New Roman" w:hAnsi="Times New Roman" w:cs="Times New Roman"/>
          <w:sz w:val="21"/>
          <w:szCs w:val="21"/>
        </w:rPr>
        <w:t xml:space="preserve">Munis remain </w:t>
      </w:r>
      <w:r w:rsidR="009C07A9">
        <w:rPr>
          <w:rFonts w:ascii="Times New Roman" w:hAnsi="Times New Roman" w:cs="Times New Roman"/>
          <w:sz w:val="21"/>
          <w:szCs w:val="21"/>
        </w:rPr>
        <w:t xml:space="preserve">our favorite bond market sector but selectivity is critical. </w:t>
      </w:r>
      <w:r w:rsidR="00D24F9B">
        <w:rPr>
          <w:rFonts w:ascii="Times New Roman" w:hAnsi="Times New Roman" w:cs="Times New Roman"/>
          <w:sz w:val="21"/>
          <w:szCs w:val="21"/>
        </w:rPr>
        <w:t xml:space="preserve">Disclosure is better than it used to be but still far short of what it should be. </w:t>
      </w:r>
      <w:r w:rsidR="001B4C89">
        <w:rPr>
          <w:rFonts w:ascii="Times New Roman" w:hAnsi="Times New Roman" w:cs="Times New Roman"/>
          <w:sz w:val="21"/>
          <w:szCs w:val="21"/>
        </w:rPr>
        <w:t>For those who follow this column closely, we have resorted to writing to the Chief Financial Officer at Columbia Hospital, as our phone calls were not returned, to follow up on our questions about conflict</w:t>
      </w:r>
      <w:r w:rsidR="00D24F9B">
        <w:rPr>
          <w:rFonts w:ascii="Times New Roman" w:hAnsi="Times New Roman" w:cs="Times New Roman"/>
          <w:sz w:val="21"/>
          <w:szCs w:val="21"/>
        </w:rPr>
        <w:t>s of interest disclosed in the hospital’s</w:t>
      </w:r>
      <w:r w:rsidR="001B4C89">
        <w:rPr>
          <w:rFonts w:ascii="Times New Roman" w:hAnsi="Times New Roman" w:cs="Times New Roman"/>
          <w:sz w:val="21"/>
          <w:szCs w:val="21"/>
        </w:rPr>
        <w:t xml:space="preserve"> financial statements. We still have not heard back. </w:t>
      </w:r>
    </w:p>
    <w:p w:rsidR="0045737E" w:rsidRDefault="0045737E">
      <w:pPr>
        <w:autoSpaceDE w:val="0"/>
        <w:jc w:val="both"/>
        <w:rPr>
          <w:rFonts w:ascii="Times New Roman" w:hAnsi="Times New Roman" w:cs="Times New Roman"/>
          <w:color w:val="0070C0"/>
          <w:sz w:val="21"/>
          <w:szCs w:val="21"/>
        </w:rPr>
      </w:pPr>
      <w:r>
        <w:pict>
          <v:line id="_x0000_s1028" style="position:absolute;left:0;text-align:left;z-index:251658240" from="-18.7pt,4.25pt" to="493.2pt,4.25pt" strokecolor="#004586" strokeweight=".26mm">
            <v:stroke color2="#ffba79" joinstyle="miter" endcap="square"/>
          </v:line>
        </w:pict>
      </w:r>
    </w:p>
    <w:p w:rsidR="0045737E" w:rsidRPr="002262A5" w:rsidRDefault="0045737E">
      <w:pPr>
        <w:pStyle w:val="BodyTextIndent"/>
        <w:jc w:val="both"/>
        <w:rPr>
          <w:sz w:val="24"/>
          <w:szCs w:val="24"/>
        </w:rPr>
      </w:pPr>
      <w:r w:rsidRPr="002262A5">
        <w:rPr>
          <w:b/>
          <w:i/>
          <w:sz w:val="24"/>
          <w:szCs w:val="24"/>
        </w:rPr>
        <w:t>International</w:t>
      </w:r>
    </w:p>
    <w:p w:rsidR="0045737E" w:rsidRDefault="0045737E" w:rsidP="00D24F9B">
      <w:pPr>
        <w:pStyle w:val="BodyTextIndent"/>
        <w:jc w:val="both"/>
        <w:rPr>
          <w:sz w:val="21"/>
          <w:szCs w:val="21"/>
        </w:rPr>
      </w:pPr>
      <w:r>
        <w:rPr>
          <w:sz w:val="21"/>
          <w:szCs w:val="21"/>
        </w:rPr>
        <w:t xml:space="preserve">Returns overseas </w:t>
      </w:r>
      <w:r w:rsidR="00D24F9B">
        <w:rPr>
          <w:sz w:val="21"/>
          <w:szCs w:val="21"/>
        </w:rPr>
        <w:t>were wildly disparate last month</w:t>
      </w:r>
      <w:r w:rsidR="004E0478">
        <w:rPr>
          <w:sz w:val="21"/>
          <w:szCs w:val="21"/>
        </w:rPr>
        <w:t>. Canada, where most of our foreign investments are headquart</w:t>
      </w:r>
      <w:r w:rsidR="00D24F9B">
        <w:rPr>
          <w:sz w:val="21"/>
          <w:szCs w:val="21"/>
        </w:rPr>
        <w:t>ered and traded, was up only 0.3</w:t>
      </w:r>
      <w:r w:rsidR="004E0478">
        <w:rPr>
          <w:sz w:val="21"/>
          <w:szCs w:val="21"/>
        </w:rPr>
        <w:t xml:space="preserve">%. </w:t>
      </w:r>
      <w:r w:rsidR="00E13AE6">
        <w:rPr>
          <w:sz w:val="21"/>
          <w:szCs w:val="21"/>
        </w:rPr>
        <w:t>Canada’s economy is in a slow slog much like the rest of the developed world. Our exposure here could be a detriment for a while.</w:t>
      </w:r>
      <w:r w:rsidR="00D24F9B">
        <w:rPr>
          <w:sz w:val="21"/>
          <w:szCs w:val="21"/>
        </w:rPr>
        <w:t xml:space="preserve"> Our response to this has been to find another Canadian stock – markets where returns have been low are a good place to look for value. Elsewhere, Mexico was up 3.6</w:t>
      </w:r>
      <w:r w:rsidR="00E13AE6">
        <w:rPr>
          <w:sz w:val="21"/>
          <w:szCs w:val="21"/>
        </w:rPr>
        <w:t xml:space="preserve">% </w:t>
      </w:r>
      <w:r w:rsidR="00D24F9B">
        <w:rPr>
          <w:sz w:val="21"/>
          <w:szCs w:val="21"/>
        </w:rPr>
        <w:t xml:space="preserve">but </w:t>
      </w:r>
      <w:r w:rsidR="00E13AE6">
        <w:rPr>
          <w:sz w:val="21"/>
          <w:szCs w:val="21"/>
        </w:rPr>
        <w:t xml:space="preserve">Brazil </w:t>
      </w:r>
      <w:r w:rsidR="00D24F9B">
        <w:rPr>
          <w:sz w:val="21"/>
          <w:szCs w:val="21"/>
        </w:rPr>
        <w:t>pulled a switcheroo and sank -3.3% after a strong October. This kind of volatility is de rigueur for Brazil</w:t>
      </w:r>
      <w:r w:rsidR="00E13AE6">
        <w:rPr>
          <w:sz w:val="21"/>
          <w:szCs w:val="21"/>
        </w:rPr>
        <w:t xml:space="preserve">. In Europe, the FT-SE index of one hundred large companies </w:t>
      </w:r>
      <w:r w:rsidR="00D24F9B">
        <w:rPr>
          <w:sz w:val="21"/>
          <w:szCs w:val="21"/>
        </w:rPr>
        <w:t>dropped</w:t>
      </w:r>
      <w:r w:rsidR="00E13AE6">
        <w:rPr>
          <w:sz w:val="21"/>
          <w:szCs w:val="21"/>
        </w:rPr>
        <w:t xml:space="preserve"> </w:t>
      </w:r>
      <w:r w:rsidR="00D24F9B">
        <w:rPr>
          <w:sz w:val="21"/>
          <w:szCs w:val="21"/>
        </w:rPr>
        <w:t xml:space="preserve">-1.2%. The Nikkei </w:t>
      </w:r>
      <w:r w:rsidR="00E13AE6">
        <w:rPr>
          <w:sz w:val="21"/>
          <w:szCs w:val="21"/>
        </w:rPr>
        <w:t>was up a</w:t>
      </w:r>
      <w:r w:rsidR="00D24F9B">
        <w:rPr>
          <w:sz w:val="21"/>
          <w:szCs w:val="21"/>
        </w:rPr>
        <w:t>nother</w:t>
      </w:r>
      <w:r w:rsidR="00E13AE6">
        <w:rPr>
          <w:sz w:val="21"/>
          <w:szCs w:val="21"/>
        </w:rPr>
        <w:t xml:space="preserve"> </w:t>
      </w:r>
      <w:r w:rsidR="00D24F9B">
        <w:rPr>
          <w:sz w:val="21"/>
          <w:szCs w:val="21"/>
        </w:rPr>
        <w:t>9.8</w:t>
      </w:r>
      <w:r w:rsidR="00BB5253">
        <w:rPr>
          <w:sz w:val="21"/>
          <w:szCs w:val="21"/>
        </w:rPr>
        <w:t xml:space="preserve">%, </w:t>
      </w:r>
      <w:r w:rsidR="00D24F9B">
        <w:rPr>
          <w:sz w:val="21"/>
          <w:szCs w:val="21"/>
        </w:rPr>
        <w:t>making two extremely strong months in a row</w:t>
      </w:r>
      <w:r w:rsidR="00BB5253">
        <w:rPr>
          <w:sz w:val="21"/>
          <w:szCs w:val="21"/>
        </w:rPr>
        <w:t>.</w:t>
      </w:r>
      <w:r w:rsidR="009F3367">
        <w:rPr>
          <w:sz w:val="21"/>
          <w:szCs w:val="21"/>
        </w:rPr>
        <w:t xml:space="preserve"> </w:t>
      </w:r>
      <w:r w:rsidR="00BB5253">
        <w:rPr>
          <w:sz w:val="21"/>
          <w:szCs w:val="21"/>
        </w:rPr>
        <w:t>The Hang Seng index, somewhat of a proxy for t</w:t>
      </w:r>
      <w:r w:rsidR="00D24F9B">
        <w:rPr>
          <w:sz w:val="21"/>
          <w:szCs w:val="21"/>
        </w:rPr>
        <w:t>he Chinese economy, was up 2.9%</w:t>
      </w:r>
      <w:r w:rsidR="00BB5253">
        <w:rPr>
          <w:sz w:val="21"/>
          <w:szCs w:val="21"/>
        </w:rPr>
        <w:t xml:space="preserve">. </w:t>
      </w:r>
    </w:p>
    <w:p w:rsidR="0045737E" w:rsidRPr="001921CE" w:rsidRDefault="0014280D" w:rsidP="00D24F9B">
      <w:pPr>
        <w:pStyle w:val="BodyTextIndent"/>
        <w:jc w:val="both"/>
        <w:rPr>
          <w:sz w:val="16"/>
          <w:szCs w:val="16"/>
        </w:rPr>
      </w:pPr>
      <w:r>
        <w:rPr>
          <w:noProof/>
          <w:sz w:val="21"/>
          <w:szCs w:val="21"/>
          <w:lang w:eastAsia="en-US"/>
        </w:rPr>
        <w:pict>
          <v:line id="_x0000_s1030" style="position:absolute;left:0;text-align:left;z-index:251659264;mso-wrap-edited:f" from="-15.4pt,6.9pt" to="496.5pt,6.9pt" wrapcoords="-63 -2147483648 31 -2147483648 10815 -2147483648 10815 -2147483648 21568 -2147483648 21663 -2147483648 -63 -2147483648" strokecolor="#004586" strokeweight=".26mm">
            <v:stroke color2="#ffba79" joinstyle="miter" endcap="square"/>
            <w10:wrap type="through"/>
          </v:line>
        </w:pict>
      </w:r>
      <w:r>
        <w:t xml:space="preserve"> </w:t>
      </w:r>
    </w:p>
    <w:p w:rsidR="0045737E" w:rsidRPr="005369AB" w:rsidRDefault="0045737E" w:rsidP="005369AB">
      <w:pPr>
        <w:pStyle w:val="BodyTextIndent"/>
        <w:jc w:val="both"/>
        <w:rPr>
          <w:i/>
          <w:sz w:val="18"/>
        </w:rPr>
      </w:pPr>
      <w:r w:rsidRPr="00BA4798">
        <w:rPr>
          <w:b/>
          <w:i/>
          <w:color w:val="002060"/>
          <w:sz w:val="18"/>
        </w:rPr>
        <w:t>Marketline Monthly</w:t>
      </w:r>
      <w:r>
        <w:rPr>
          <w:color w:val="004586"/>
          <w:sz w:val="18"/>
        </w:rPr>
        <w:t xml:space="preserve"> </w:t>
      </w:r>
      <w:r>
        <w:rPr>
          <w:sz w:val="18"/>
        </w:rPr>
        <w:t xml:space="preserve">is produced by </w:t>
      </w:r>
      <w:r>
        <w:rPr>
          <w:b/>
          <w:i/>
          <w:sz w:val="18"/>
        </w:rPr>
        <w:t>Cascade Investment Advisors, Inc</w:t>
      </w:r>
      <w:r>
        <w:rPr>
          <w:sz w:val="18"/>
        </w:rPr>
        <w:t xml:space="preserve">. We specialize in value investing for individuals. We apply our approach across markets, looking for low-priced securities that offer above-average potential. We use imagination and hard work to bring performance and personal service to our clients. To learn more, contact Michelle Rand at 1.503.417.1950 or 1.888.443.9015; email to </w:t>
      </w:r>
      <w:hyperlink r:id="rId6" w:history="1">
        <w:r w:rsidRPr="00BA4798">
          <w:rPr>
            <w:rStyle w:val="Hyperlink"/>
            <w:b/>
            <w:i/>
            <w:color w:val="002060"/>
            <w:sz w:val="18"/>
            <w:szCs w:val="18"/>
          </w:rPr>
          <w:t>Michelle.Rand@cascadeinvestors.com</w:t>
        </w:r>
      </w:hyperlink>
      <w:r w:rsidRPr="0024168C">
        <w:rPr>
          <w:i/>
          <w:iCs/>
          <w:color w:val="004586"/>
          <w:sz w:val="21"/>
          <w:szCs w:val="21"/>
        </w:rPr>
        <w:t>.</w:t>
      </w:r>
      <w:r>
        <w:rPr>
          <w:sz w:val="18"/>
        </w:rPr>
        <w:t xml:space="preserve"> A full list of stocks we invest in is available on request; mention of specific securities is not investment advice; such investments may or may not be profitable. </w:t>
      </w:r>
    </w:p>
    <w:sectPr w:rsidR="0045737E" w:rsidRPr="005369AB" w:rsidSect="003255AD">
      <w:pgSz w:w="12240" w:h="15840"/>
      <w:pgMar w:top="547" w:right="1166" w:bottom="547" w:left="1166" w:header="720" w:footer="720" w:gutter="0"/>
      <w:pgBorders>
        <w:top w:val="single" w:sz="8" w:space="3" w:color="002060"/>
        <w:left w:val="single" w:sz="8" w:space="31" w:color="002060"/>
        <w:bottom w:val="single" w:sz="8" w:space="0" w:color="002060"/>
        <w:right w:val="single" w:sz="8" w:space="31" w:color="002060"/>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712B68"/>
    <w:rsid w:val="000551DD"/>
    <w:rsid w:val="0014280D"/>
    <w:rsid w:val="001921CE"/>
    <w:rsid w:val="001B4C89"/>
    <w:rsid w:val="002262A5"/>
    <w:rsid w:val="0024168C"/>
    <w:rsid w:val="0024223F"/>
    <w:rsid w:val="0027289E"/>
    <w:rsid w:val="0030245F"/>
    <w:rsid w:val="003130CB"/>
    <w:rsid w:val="003255AD"/>
    <w:rsid w:val="003F4A3A"/>
    <w:rsid w:val="00404A86"/>
    <w:rsid w:val="0045737E"/>
    <w:rsid w:val="00464AEE"/>
    <w:rsid w:val="004E0478"/>
    <w:rsid w:val="00531DB3"/>
    <w:rsid w:val="005369AB"/>
    <w:rsid w:val="00551E47"/>
    <w:rsid w:val="005D302A"/>
    <w:rsid w:val="00712B68"/>
    <w:rsid w:val="007B2D0A"/>
    <w:rsid w:val="00814DFC"/>
    <w:rsid w:val="008C18D9"/>
    <w:rsid w:val="00914108"/>
    <w:rsid w:val="00941936"/>
    <w:rsid w:val="00986F39"/>
    <w:rsid w:val="009C07A9"/>
    <w:rsid w:val="009F3367"/>
    <w:rsid w:val="00AF4ADB"/>
    <w:rsid w:val="00BA4798"/>
    <w:rsid w:val="00BB5253"/>
    <w:rsid w:val="00BE2140"/>
    <w:rsid w:val="00C71956"/>
    <w:rsid w:val="00D24F9B"/>
    <w:rsid w:val="00DC2A1B"/>
    <w:rsid w:val="00E13AE6"/>
    <w:rsid w:val="00EC5CB3"/>
    <w:rsid w:val="00F55623"/>
    <w:rsid w:val="00FE7248"/>
    <w:rsid w:val="00FF44D9"/>
    <w:rsid w:val="00FF6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rPr>
      <w:rFonts w:ascii="Times" w:eastAsia="Times" w:hAnsi="Times" w:cs="Times"/>
      <w:sz w:val="24"/>
      <w:lang w:eastAsia="ar-SA"/>
    </w:rPr>
  </w:style>
  <w:style w:type="paragraph" w:styleId="Heading1">
    <w:name w:val="heading 1"/>
    <w:basedOn w:val="Normal"/>
    <w:next w:val="Normal"/>
    <w:qFormat/>
    <w:pPr>
      <w:keepNext/>
      <w:numPr>
        <w:numId w:val="1"/>
      </w:numPr>
      <w:jc w:val="center"/>
      <w:outlineLvl w:val="0"/>
    </w:pPr>
    <w:rPr>
      <w:b/>
      <w:i/>
    </w:rPr>
  </w:style>
  <w:style w:type="paragraph" w:styleId="Heading2">
    <w:name w:val="heading 2"/>
    <w:basedOn w:val="Normal"/>
    <w:next w:val="Normal"/>
    <w:qFormat/>
    <w:pPr>
      <w:keepNext/>
      <w:numPr>
        <w:ilvl w:val="1"/>
        <w:numId w:val="1"/>
      </w:numPr>
      <w:ind w:left="-450" w:right="-720" w:firstLine="0"/>
      <w:outlineLvl w:val="1"/>
    </w:pPr>
    <w:rPr>
      <w:b/>
      <w:i/>
      <w:sz w:val="22"/>
    </w:rPr>
  </w:style>
  <w:style w:type="paragraph" w:styleId="Heading3">
    <w:name w:val="heading 3"/>
    <w:basedOn w:val="Normal"/>
    <w:next w:val="Normal"/>
    <w:qFormat/>
    <w:pPr>
      <w:keepNext/>
      <w:numPr>
        <w:ilvl w:val="2"/>
        <w:numId w:val="1"/>
      </w:numPr>
      <w:ind w:left="-450" w:right="-720" w:firstLine="0"/>
      <w:jc w:val="both"/>
      <w:outlineLvl w:val="2"/>
    </w:pPr>
    <w:rPr>
      <w:b/>
      <w:i/>
      <w:sz w:val="22"/>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cs="Times New Roman"/>
      <w:b/>
      <w:sz w:val="28"/>
    </w:rPr>
  </w:style>
  <w:style w:type="paragraph" w:styleId="Heading5">
    <w:name w:val="heading 5"/>
    <w:basedOn w:val="Normal"/>
    <w:next w:val="Normal"/>
    <w:qFormat/>
    <w:pPr>
      <w:numPr>
        <w:ilvl w:val="4"/>
        <w:numId w:val="1"/>
      </w:numPr>
      <w:spacing w:before="240" w:after="60"/>
      <w:outlineLvl w:val="4"/>
    </w:pPr>
    <w:rPr>
      <w:b/>
      <w:i/>
      <w:sz w:val="26"/>
    </w:rPr>
  </w:style>
  <w:style w:type="paragraph" w:styleId="Heading6">
    <w:name w:val="heading 6"/>
    <w:basedOn w:val="Normal"/>
    <w:next w:val="Normal"/>
    <w:qFormat/>
    <w:pPr>
      <w:keepNext/>
      <w:numPr>
        <w:ilvl w:val="5"/>
        <w:numId w:val="1"/>
      </w:numPr>
      <w:ind w:left="-360" w:firstLine="0"/>
      <w:outlineLvl w:val="5"/>
    </w:pPr>
    <w:rPr>
      <w:b/>
      <w:i/>
    </w:rPr>
  </w:style>
  <w:style w:type="paragraph" w:styleId="Heading7">
    <w:name w:val="heading 7"/>
    <w:basedOn w:val="Normal"/>
    <w:next w:val="Normal"/>
    <w:qFormat/>
    <w:pPr>
      <w:keepNext/>
      <w:numPr>
        <w:ilvl w:val="6"/>
        <w:numId w:val="1"/>
      </w:numPr>
      <w:autoSpaceDE w:val="0"/>
      <w:ind w:left="-360" w:firstLine="0"/>
      <w:jc w:val="both"/>
      <w:outlineLvl w:val="6"/>
    </w:pPr>
    <w:rPr>
      <w:i/>
    </w:rPr>
  </w:style>
  <w:style w:type="paragraph" w:styleId="Heading8">
    <w:name w:val="heading 8"/>
    <w:basedOn w:val="Normal"/>
    <w:next w:val="Normal"/>
    <w:qFormat/>
    <w:pPr>
      <w:keepNext/>
      <w:numPr>
        <w:ilvl w:val="7"/>
        <w:numId w:val="1"/>
      </w:numPr>
      <w:ind w:left="-450" w:firstLine="90"/>
      <w:outlineLvl w:val="7"/>
    </w:pPr>
    <w:rPr>
      <w:b/>
      <w:i/>
    </w:rPr>
  </w:style>
  <w:style w:type="paragraph" w:styleId="Heading9">
    <w:name w:val="heading 9"/>
    <w:basedOn w:val="Normal"/>
    <w:next w:val="Normal"/>
    <w:qFormat/>
    <w:pPr>
      <w:keepNext/>
      <w:numPr>
        <w:ilvl w:val="8"/>
        <w:numId w:val="1"/>
      </w:numPr>
      <w:autoSpaceDE w:val="0"/>
      <w:ind w:left="-360" w:firstLine="0"/>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styleId="DefaultParagraphFont0">
    <w:name w:val="Default Paragraph Font"/>
  </w:style>
  <w:style w:type="character" w:customStyle="1" w:styleId="Absatz-Standardschriftart">
    <w:name w:val="Absatz-Standardschriftart"/>
  </w:style>
  <w:style w:type="character" w:customStyle="1" w:styleId="WW-DefaultParagraphFont">
    <w:name w:val="WW-Default Paragraph Font"/>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Courier New"/>
    </w:rPr>
  </w:style>
  <w:style w:type="paragraph" w:styleId="Caption">
    <w:name w:val="caption"/>
    <w:basedOn w:val="Normal"/>
    <w:qFormat/>
    <w:pPr>
      <w:suppressLineNumbers/>
      <w:spacing w:before="120" w:after="120"/>
    </w:pPr>
    <w:rPr>
      <w:rFonts w:cs="Courier New"/>
      <w:i/>
      <w:iCs/>
      <w:szCs w:val="24"/>
    </w:rPr>
  </w:style>
  <w:style w:type="paragraph" w:customStyle="1" w:styleId="Index">
    <w:name w:val="Index"/>
    <w:basedOn w:val="Normal"/>
    <w:pPr>
      <w:suppressLineNumbers/>
    </w:pPr>
    <w:rPr>
      <w:rFonts w:cs="Courier New"/>
    </w:rPr>
  </w:style>
  <w:style w:type="paragraph" w:styleId="BlockText">
    <w:name w:val="Block Text"/>
    <w:basedOn w:val="Normal"/>
    <w:pPr>
      <w:ind w:left="-450" w:right="-720"/>
      <w:jc w:val="both"/>
    </w:pPr>
    <w:rPr>
      <w:sz w:val="22"/>
    </w:rPr>
  </w:style>
  <w:style w:type="paragraph" w:styleId="Title">
    <w:name w:val="Title"/>
    <w:basedOn w:val="Normal"/>
    <w:next w:val="Subtitle"/>
    <w:qFormat/>
    <w:pPr>
      <w:jc w:val="center"/>
    </w:pPr>
    <w:rPr>
      <w:b/>
      <w:i/>
    </w:rPr>
  </w:style>
  <w:style w:type="paragraph" w:styleId="Subtitle">
    <w:name w:val="Subtitle"/>
    <w:basedOn w:val="Heading"/>
    <w:next w:val="BodyText"/>
    <w:qFormat/>
    <w:pPr>
      <w:jc w:val="center"/>
    </w:pPr>
    <w:rPr>
      <w:i/>
      <w:iCs/>
    </w:rPr>
  </w:style>
  <w:style w:type="paragraph" w:styleId="BodyTextIndent2">
    <w:name w:val="Body Text Indent 2"/>
    <w:basedOn w:val="Normal"/>
    <w:pPr>
      <w:ind w:left="-450"/>
    </w:pPr>
    <w:rPr>
      <w:sz w:val="22"/>
    </w:rPr>
  </w:style>
  <w:style w:type="paragraph" w:styleId="BodyTextIndent3">
    <w:name w:val="Body Text Indent 3"/>
    <w:basedOn w:val="Normal"/>
    <w:pPr>
      <w:spacing w:after="120"/>
      <w:ind w:left="360"/>
    </w:pPr>
    <w:rPr>
      <w:sz w:val="16"/>
    </w:rPr>
  </w:style>
  <w:style w:type="paragraph" w:styleId="BalloonText">
    <w:name w:val="Balloon Text"/>
    <w:basedOn w:val="Normal"/>
    <w:rPr>
      <w:rFonts w:ascii="Tahoma" w:hAnsi="Tahoma" w:cs="Tahoma"/>
      <w:sz w:val="16"/>
    </w:rPr>
  </w:style>
  <w:style w:type="paragraph" w:styleId="BodyTextIndent">
    <w:name w:val="Body Text Indent"/>
    <w:basedOn w:val="Normal"/>
    <w:pPr>
      <w:autoSpaceDE w:val="0"/>
      <w:ind w:left="-360"/>
    </w:pPr>
    <w:rPr>
      <w:rFonts w:ascii="Times New Roman" w:eastAsia="Times New Roman" w:hAnsi="Times New Roman" w:cs="Times New Roman"/>
      <w:sz w:val="22"/>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chelle.Rand@cascadeinvesto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BD73C-5993-42E5-973C-000221D54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Marketline Monthly</vt:lpstr>
    </vt:vector>
  </TitlesOfParts>
  <Company/>
  <LinksUpToDate>false</LinksUpToDate>
  <CharactersWithSpaces>5675</CharactersWithSpaces>
  <SharedDoc>false</SharedDoc>
  <HLinks>
    <vt:vector size="6" baseType="variant">
      <vt:variant>
        <vt:i4>1441798</vt:i4>
      </vt:variant>
      <vt:variant>
        <vt:i4>0</vt:i4>
      </vt:variant>
      <vt:variant>
        <vt:i4>0</vt:i4>
      </vt:variant>
      <vt:variant>
        <vt:i4>5</vt:i4>
      </vt:variant>
      <vt:variant>
        <vt:lpwstr>mailto:Michelle.Rand@cascadeinvestors.com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Marketline Monthly</dc:title>
  <dc:creator>Michelle Dicus</dc:creator>
  <cp:lastModifiedBy>Cascade</cp:lastModifiedBy>
  <cp:revision>7</cp:revision>
  <cp:lastPrinted>2012-11-08T21:15:00Z</cp:lastPrinted>
  <dcterms:created xsi:type="dcterms:W3CDTF">2013-12-13T05:08:00Z</dcterms:created>
  <dcterms:modified xsi:type="dcterms:W3CDTF">2013-12-13T05:11:00Z</dcterms:modified>
</cp:coreProperties>
</file>