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737E" w:rsidRPr="00A059F7" w:rsidRDefault="0045737E">
      <w:pPr>
        <w:pStyle w:val="Title"/>
        <w:rPr>
          <w:color w:val="054172"/>
        </w:rPr>
      </w:pPr>
      <w:r w:rsidRPr="00A059F7">
        <w:rPr>
          <w:rFonts w:ascii="Times New Roman" w:hAnsi="Times New Roman" w:cs="Times New Roman"/>
          <w:color w:val="054172"/>
          <w:sz w:val="28"/>
        </w:rPr>
        <w:t xml:space="preserve">  Marketline Monthly, </w:t>
      </w:r>
      <w:r w:rsidR="000D51AB" w:rsidRPr="00A059F7">
        <w:rPr>
          <w:rFonts w:ascii="Times New Roman" w:hAnsi="Times New Roman" w:cs="Times New Roman"/>
          <w:color w:val="054172"/>
          <w:sz w:val="28"/>
        </w:rPr>
        <w:t>January</w:t>
      </w:r>
      <w:r w:rsidR="00FF44D9" w:rsidRPr="00A059F7">
        <w:rPr>
          <w:rFonts w:ascii="Times New Roman" w:hAnsi="Times New Roman" w:cs="Times New Roman"/>
          <w:color w:val="054172"/>
          <w:sz w:val="28"/>
        </w:rPr>
        <w:t xml:space="preserve"> </w:t>
      </w:r>
      <w:r w:rsidRPr="00A059F7">
        <w:rPr>
          <w:rFonts w:ascii="Times New Roman" w:hAnsi="Times New Roman" w:cs="Times New Roman"/>
          <w:color w:val="054172"/>
          <w:sz w:val="28"/>
        </w:rPr>
        <w:t>201</w:t>
      </w:r>
      <w:r w:rsidR="000D51AB" w:rsidRPr="00A059F7">
        <w:rPr>
          <w:rFonts w:ascii="Times New Roman" w:hAnsi="Times New Roman" w:cs="Times New Roman"/>
          <w:color w:val="054172"/>
          <w:sz w:val="28"/>
        </w:rPr>
        <w:t>4</w:t>
      </w:r>
    </w:p>
    <w:p w:rsidR="0045737E" w:rsidRDefault="0045737E">
      <w:pPr>
        <w:tabs>
          <w:tab w:val="center" w:pos="4680"/>
        </w:tabs>
        <w:ind w:left="-450" w:firstLine="90"/>
        <w:rPr>
          <w:rFonts w:ascii="Times New Roman" w:hAnsi="Times New Roman" w:cs="Times New Roman"/>
          <w:b/>
          <w:i/>
          <w:color w:val="0070C0"/>
        </w:rPr>
      </w:pPr>
      <w:r>
        <w:pict>
          <v:line id="_x0000_s1026" style="position:absolute;left:0;text-align:left;z-index:251656192" from="-18.65pt,7.75pt" to="493.25pt,7.75pt" strokecolor="#002060" strokeweight=".26mm">
            <v:stroke color2="#ffba79" joinstyle="miter" endcap="square"/>
          </v:line>
        </w:pict>
      </w:r>
    </w:p>
    <w:p w:rsidR="009F3367" w:rsidRDefault="0045737E" w:rsidP="009F3367">
      <w:pPr>
        <w:tabs>
          <w:tab w:val="center" w:pos="4680"/>
        </w:tabs>
        <w:ind w:left="-450" w:firstLine="90"/>
        <w:rPr>
          <w:rFonts w:ascii="Times New Roman" w:hAnsi="Times New Roman" w:cs="Times New Roman"/>
          <w:sz w:val="21"/>
          <w:szCs w:val="21"/>
        </w:rPr>
      </w:pPr>
      <w:r>
        <w:rPr>
          <w:rFonts w:ascii="Times New Roman" w:hAnsi="Times New Roman" w:cs="Times New Roman"/>
          <w:b/>
          <w:i/>
        </w:rPr>
        <w:t>Domestic Stocks</w:t>
      </w:r>
    </w:p>
    <w:p w:rsidR="00914108" w:rsidRDefault="000D51AB" w:rsidP="00914108">
      <w:pPr>
        <w:tabs>
          <w:tab w:val="center" w:pos="4680"/>
        </w:tabs>
        <w:ind w:left="-360"/>
        <w:jc w:val="both"/>
        <w:rPr>
          <w:rFonts w:ascii="Times New Roman" w:hAnsi="Times New Roman" w:cs="Times New Roman"/>
          <w:sz w:val="20"/>
        </w:rPr>
      </w:pPr>
      <w:r>
        <w:rPr>
          <w:rFonts w:ascii="Times New Roman" w:hAnsi="Times New Roman" w:cs="Times New Roman"/>
          <w:sz w:val="20"/>
        </w:rPr>
        <w:t xml:space="preserve">January brought a rough start to stocks. The Dow sank -5.3%; the S&amp;P 500 was off -3.6% and the Nasdaq declined -1.7%. </w:t>
      </w:r>
      <w:r w:rsidR="004555A0">
        <w:rPr>
          <w:rFonts w:ascii="Times New Roman" w:hAnsi="Times New Roman" w:cs="Times New Roman"/>
          <w:sz w:val="20"/>
        </w:rPr>
        <w:t>The underpinning of this decline resides in the uncertainty around the transition from lots of Fed support to less – but still positive – Fed support. Coincident with the Fed’s slight pullback, China’s growth appears to be slowing as it enters its own transition; emerging markets hooked on low i</w:t>
      </w:r>
      <w:r w:rsidR="00BF6339">
        <w:rPr>
          <w:rFonts w:ascii="Times New Roman" w:hAnsi="Times New Roman" w:cs="Times New Roman"/>
          <w:sz w:val="20"/>
        </w:rPr>
        <w:t>nterest rates are crumbling;</w:t>
      </w:r>
      <w:r w:rsidR="004555A0">
        <w:rPr>
          <w:rFonts w:ascii="Times New Roman" w:hAnsi="Times New Roman" w:cs="Times New Roman"/>
          <w:sz w:val="20"/>
        </w:rPr>
        <w:t xml:space="preserve"> some US data points have been less than stellar</w:t>
      </w:r>
      <w:r w:rsidR="00BF6339">
        <w:rPr>
          <w:rFonts w:ascii="Times New Roman" w:hAnsi="Times New Roman" w:cs="Times New Roman"/>
          <w:sz w:val="20"/>
        </w:rPr>
        <w:t>; and earnings season, while good, has brought many a weak forecast</w:t>
      </w:r>
      <w:r w:rsidR="004555A0">
        <w:rPr>
          <w:rFonts w:ascii="Times New Roman" w:hAnsi="Times New Roman" w:cs="Times New Roman"/>
          <w:sz w:val="20"/>
        </w:rPr>
        <w:t xml:space="preserve">. Suddenly, everyone is questioning the thesis that the economy is finally gaining traction. </w:t>
      </w:r>
    </w:p>
    <w:p w:rsidR="00BF6339" w:rsidRDefault="00BF6339" w:rsidP="00914108">
      <w:pPr>
        <w:tabs>
          <w:tab w:val="center" w:pos="4680"/>
        </w:tabs>
        <w:ind w:left="-360"/>
        <w:jc w:val="both"/>
        <w:rPr>
          <w:rFonts w:ascii="Times New Roman" w:hAnsi="Times New Roman" w:cs="Times New Roman"/>
          <w:sz w:val="20"/>
        </w:rPr>
      </w:pPr>
    </w:p>
    <w:p w:rsidR="00FC6124" w:rsidRDefault="00BF6339" w:rsidP="00FC6124">
      <w:pPr>
        <w:tabs>
          <w:tab w:val="center" w:pos="4680"/>
        </w:tabs>
        <w:ind w:left="-360"/>
        <w:jc w:val="both"/>
        <w:rPr>
          <w:rFonts w:ascii="Times New Roman" w:hAnsi="Times New Roman" w:cs="Times New Roman"/>
          <w:sz w:val="20"/>
        </w:rPr>
      </w:pPr>
      <w:r>
        <w:rPr>
          <w:rFonts w:ascii="Times New Roman" w:hAnsi="Times New Roman" w:cs="Times New Roman"/>
          <w:sz w:val="20"/>
        </w:rPr>
        <w:t>The market is behaving as it ought: the risk of owning assets has increased, because this transition has an uncertain outcome. When risk increases, prices should fall. How far, we’re not sure. But the fact that this reaction has not been delayed</w:t>
      </w:r>
      <w:r w:rsidR="00621825">
        <w:rPr>
          <w:rFonts w:ascii="Times New Roman" w:hAnsi="Times New Roman" w:cs="Times New Roman"/>
          <w:sz w:val="20"/>
        </w:rPr>
        <w:t xml:space="preserve">, and is orderly without turning into a panic, is encouraging. At least so far, it looks as if we may get away with a garden variety, down 10% sort of decline, the kind that happens nearly every year. </w:t>
      </w:r>
      <w:r w:rsidR="00FC6124">
        <w:rPr>
          <w:rFonts w:ascii="Times New Roman" w:hAnsi="Times New Roman" w:cs="Times New Roman"/>
          <w:sz w:val="20"/>
        </w:rPr>
        <w:t xml:space="preserve">While we don’t know how long this will last, or where it will stop, we think it will do stocks a world of good to become a little cheaper. A cheaper </w:t>
      </w:r>
      <w:r w:rsidR="00153BD7">
        <w:rPr>
          <w:rFonts w:ascii="Times New Roman" w:hAnsi="Times New Roman" w:cs="Times New Roman"/>
          <w:sz w:val="20"/>
        </w:rPr>
        <w:t>market will eventually attract buyers</w:t>
      </w:r>
      <w:r w:rsidR="00FC6124">
        <w:rPr>
          <w:rFonts w:ascii="Times New Roman" w:hAnsi="Times New Roman" w:cs="Times New Roman"/>
          <w:sz w:val="20"/>
        </w:rPr>
        <w:t>, setting us up for the continuation of a bull market. Although this is a well-worn argument, it’s worth noting again that the US is a pretty good bet compared to, say, anyone else. Here’s a handy field guide to world markets that we prepared as an illustration:</w:t>
      </w:r>
    </w:p>
    <w:p w:rsidR="00FC6124" w:rsidRDefault="00FC6124" w:rsidP="00914108">
      <w:pPr>
        <w:tabs>
          <w:tab w:val="center" w:pos="4680"/>
        </w:tabs>
        <w:ind w:left="-360"/>
        <w:jc w:val="both"/>
        <w:rPr>
          <w:rFonts w:ascii="Times New Roman" w:hAnsi="Times New Roman" w:cs="Times New Roman"/>
          <w:sz w:val="20"/>
        </w:rPr>
      </w:pPr>
    </w:p>
    <w:tbl>
      <w:tblPr>
        <w:tblW w:w="0" w:type="auto"/>
        <w:tblInd w:w="-252" w:type="dxa"/>
        <w:tblBorders>
          <w:top w:val="single" w:sz="8" w:space="0" w:color="4F81BD"/>
          <w:left w:val="single" w:sz="8" w:space="0" w:color="4F81BD"/>
          <w:bottom w:val="single" w:sz="8" w:space="0" w:color="4F81BD"/>
          <w:right w:val="single" w:sz="8" w:space="0" w:color="4F81BD"/>
        </w:tblBorders>
        <w:tblLook w:val="04A0"/>
      </w:tblPr>
      <w:tblGrid>
        <w:gridCol w:w="1260"/>
        <w:gridCol w:w="1260"/>
        <w:gridCol w:w="1440"/>
        <w:gridCol w:w="6416"/>
      </w:tblGrid>
      <w:tr w:rsidR="005B7A99" w:rsidRPr="0003010B" w:rsidTr="005B7A99">
        <w:tc>
          <w:tcPr>
            <w:tcW w:w="1260" w:type="dxa"/>
            <w:shd w:val="clear" w:color="auto" w:fill="4F81BD"/>
          </w:tcPr>
          <w:p w:rsidR="00FC6124" w:rsidRPr="0003010B" w:rsidRDefault="00FC6124" w:rsidP="0003010B">
            <w:pPr>
              <w:tabs>
                <w:tab w:val="center" w:pos="4680"/>
              </w:tabs>
              <w:jc w:val="both"/>
              <w:rPr>
                <w:rFonts w:ascii="Times New Roman" w:hAnsi="Times New Roman" w:cs="Times New Roman"/>
                <w:b/>
                <w:bCs/>
                <w:color w:val="FFFFFF"/>
                <w:sz w:val="20"/>
              </w:rPr>
            </w:pPr>
            <w:r w:rsidRPr="0003010B">
              <w:rPr>
                <w:rFonts w:ascii="Times New Roman" w:hAnsi="Times New Roman" w:cs="Times New Roman"/>
                <w:b/>
                <w:bCs/>
                <w:color w:val="FFFFFF"/>
                <w:sz w:val="20"/>
              </w:rPr>
              <w:t>Market</w:t>
            </w:r>
          </w:p>
        </w:tc>
        <w:tc>
          <w:tcPr>
            <w:tcW w:w="1260" w:type="dxa"/>
            <w:shd w:val="clear" w:color="auto" w:fill="4F81BD"/>
          </w:tcPr>
          <w:p w:rsidR="00FC6124" w:rsidRPr="0003010B" w:rsidRDefault="00FC6124" w:rsidP="0003010B">
            <w:pPr>
              <w:tabs>
                <w:tab w:val="center" w:pos="4680"/>
              </w:tabs>
              <w:jc w:val="center"/>
              <w:rPr>
                <w:rFonts w:ascii="Times New Roman" w:hAnsi="Times New Roman" w:cs="Times New Roman"/>
                <w:b/>
                <w:bCs/>
                <w:color w:val="FFFFFF"/>
                <w:sz w:val="20"/>
              </w:rPr>
            </w:pPr>
            <w:r w:rsidRPr="0003010B">
              <w:rPr>
                <w:rFonts w:ascii="Times New Roman" w:hAnsi="Times New Roman" w:cs="Times New Roman"/>
                <w:b/>
                <w:bCs/>
                <w:color w:val="FFFFFF"/>
                <w:sz w:val="20"/>
              </w:rPr>
              <w:t>2013 Return</w:t>
            </w:r>
          </w:p>
        </w:tc>
        <w:tc>
          <w:tcPr>
            <w:tcW w:w="1440" w:type="dxa"/>
            <w:shd w:val="clear" w:color="auto" w:fill="4F81BD"/>
          </w:tcPr>
          <w:p w:rsidR="00FC6124" w:rsidRPr="0003010B" w:rsidRDefault="00323061" w:rsidP="0003010B">
            <w:pPr>
              <w:tabs>
                <w:tab w:val="center" w:pos="4680"/>
              </w:tabs>
              <w:jc w:val="center"/>
              <w:rPr>
                <w:rFonts w:ascii="Times New Roman" w:hAnsi="Times New Roman" w:cs="Times New Roman"/>
                <w:b/>
                <w:bCs/>
                <w:color w:val="FFFFFF"/>
                <w:sz w:val="20"/>
              </w:rPr>
            </w:pPr>
            <w:r w:rsidRPr="0003010B">
              <w:rPr>
                <w:rFonts w:ascii="Times New Roman" w:hAnsi="Times New Roman" w:cs="Times New Roman"/>
                <w:b/>
                <w:bCs/>
                <w:color w:val="FFFFFF"/>
                <w:sz w:val="20"/>
              </w:rPr>
              <w:t xml:space="preserve">2014 Return </w:t>
            </w:r>
          </w:p>
        </w:tc>
        <w:tc>
          <w:tcPr>
            <w:tcW w:w="6416" w:type="dxa"/>
            <w:shd w:val="clear" w:color="auto" w:fill="4F81BD"/>
          </w:tcPr>
          <w:p w:rsidR="00FC6124" w:rsidRPr="0003010B" w:rsidRDefault="00FC6124" w:rsidP="0003010B">
            <w:pPr>
              <w:tabs>
                <w:tab w:val="center" w:pos="4680"/>
              </w:tabs>
              <w:jc w:val="both"/>
              <w:rPr>
                <w:rFonts w:ascii="Times New Roman" w:hAnsi="Times New Roman" w:cs="Times New Roman"/>
                <w:b/>
                <w:bCs/>
                <w:color w:val="FFFFFF"/>
                <w:sz w:val="20"/>
              </w:rPr>
            </w:pPr>
            <w:r w:rsidRPr="0003010B">
              <w:rPr>
                <w:rFonts w:ascii="Times New Roman" w:hAnsi="Times New Roman" w:cs="Times New Roman"/>
                <w:b/>
                <w:bCs/>
                <w:color w:val="FFFFFF"/>
                <w:sz w:val="20"/>
              </w:rPr>
              <w:t>Look Out For</w:t>
            </w:r>
            <w:r w:rsidR="00A059F7">
              <w:rPr>
                <w:rFonts w:ascii="Times New Roman" w:hAnsi="Times New Roman" w:cs="Times New Roman"/>
                <w:b/>
                <w:bCs/>
                <w:color w:val="FFFFFF"/>
                <w:sz w:val="20"/>
              </w:rPr>
              <w:t>:</w:t>
            </w:r>
          </w:p>
        </w:tc>
      </w:tr>
      <w:tr w:rsidR="005B7A99" w:rsidRPr="0003010B" w:rsidTr="005B7A99">
        <w:tc>
          <w:tcPr>
            <w:tcW w:w="1260" w:type="dxa"/>
            <w:tcBorders>
              <w:top w:val="single" w:sz="8" w:space="0" w:color="4F81BD"/>
              <w:left w:val="single" w:sz="8" w:space="0" w:color="4F81BD"/>
              <w:bottom w:val="single" w:sz="8" w:space="0" w:color="4F81BD"/>
            </w:tcBorders>
            <w:shd w:val="clear" w:color="auto" w:fill="auto"/>
          </w:tcPr>
          <w:p w:rsidR="00FC6124" w:rsidRPr="0003010B" w:rsidRDefault="00FC6124" w:rsidP="0003010B">
            <w:pPr>
              <w:tabs>
                <w:tab w:val="center" w:pos="4680"/>
              </w:tabs>
              <w:jc w:val="both"/>
              <w:rPr>
                <w:rFonts w:ascii="Times New Roman" w:hAnsi="Times New Roman" w:cs="Times New Roman"/>
                <w:b/>
                <w:bCs/>
                <w:sz w:val="20"/>
              </w:rPr>
            </w:pPr>
          </w:p>
        </w:tc>
        <w:tc>
          <w:tcPr>
            <w:tcW w:w="1260" w:type="dxa"/>
            <w:tcBorders>
              <w:top w:val="single" w:sz="8" w:space="0" w:color="4F81BD"/>
              <w:bottom w:val="single" w:sz="8" w:space="0" w:color="4F81BD"/>
            </w:tcBorders>
            <w:shd w:val="clear" w:color="auto" w:fill="auto"/>
          </w:tcPr>
          <w:p w:rsidR="00FC6124" w:rsidRPr="0003010B" w:rsidRDefault="00FC6124" w:rsidP="0003010B">
            <w:pPr>
              <w:tabs>
                <w:tab w:val="center" w:pos="4680"/>
              </w:tabs>
              <w:jc w:val="center"/>
              <w:rPr>
                <w:rFonts w:ascii="Times New Roman" w:hAnsi="Times New Roman" w:cs="Times New Roman"/>
                <w:sz w:val="20"/>
              </w:rPr>
            </w:pPr>
          </w:p>
        </w:tc>
        <w:tc>
          <w:tcPr>
            <w:tcW w:w="1440" w:type="dxa"/>
            <w:tcBorders>
              <w:top w:val="single" w:sz="8" w:space="0" w:color="4F81BD"/>
              <w:bottom w:val="single" w:sz="8" w:space="0" w:color="4F81BD"/>
            </w:tcBorders>
            <w:shd w:val="clear" w:color="auto" w:fill="auto"/>
          </w:tcPr>
          <w:p w:rsidR="00FC6124" w:rsidRPr="005B7A99" w:rsidRDefault="005B7A99" w:rsidP="0003010B">
            <w:pPr>
              <w:tabs>
                <w:tab w:val="center" w:pos="4680"/>
              </w:tabs>
              <w:jc w:val="center"/>
              <w:rPr>
                <w:rFonts w:ascii="Times New Roman" w:hAnsi="Times New Roman" w:cs="Times New Roman"/>
                <w:sz w:val="14"/>
                <w:szCs w:val="14"/>
              </w:rPr>
            </w:pPr>
            <w:r w:rsidRPr="005B7A99">
              <w:rPr>
                <w:rFonts w:ascii="Times New Roman" w:hAnsi="Times New Roman" w:cs="Times New Roman"/>
                <w:sz w:val="14"/>
                <w:szCs w:val="14"/>
              </w:rPr>
              <w:t>Jan or as of writing</w:t>
            </w:r>
          </w:p>
        </w:tc>
        <w:tc>
          <w:tcPr>
            <w:tcW w:w="6416" w:type="dxa"/>
            <w:tcBorders>
              <w:top w:val="single" w:sz="8" w:space="0" w:color="4F81BD"/>
              <w:bottom w:val="single" w:sz="8" w:space="0" w:color="4F81BD"/>
              <w:right w:val="single" w:sz="8" w:space="0" w:color="4F81BD"/>
            </w:tcBorders>
            <w:shd w:val="clear" w:color="auto" w:fill="auto"/>
          </w:tcPr>
          <w:p w:rsidR="00FC6124" w:rsidRPr="0003010B" w:rsidRDefault="00FC6124" w:rsidP="0003010B">
            <w:pPr>
              <w:tabs>
                <w:tab w:val="center" w:pos="4680"/>
              </w:tabs>
              <w:jc w:val="both"/>
              <w:rPr>
                <w:rFonts w:ascii="Times New Roman" w:hAnsi="Times New Roman" w:cs="Times New Roman"/>
                <w:sz w:val="20"/>
              </w:rPr>
            </w:pPr>
          </w:p>
        </w:tc>
      </w:tr>
      <w:tr w:rsidR="005B7A99" w:rsidRPr="0003010B" w:rsidTr="005B7A99">
        <w:tc>
          <w:tcPr>
            <w:tcW w:w="1260" w:type="dxa"/>
            <w:shd w:val="clear" w:color="auto" w:fill="auto"/>
          </w:tcPr>
          <w:p w:rsidR="00FC6124" w:rsidRPr="0003010B" w:rsidRDefault="00FC6124"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Japan</w:t>
            </w:r>
          </w:p>
        </w:tc>
        <w:tc>
          <w:tcPr>
            <w:tcW w:w="1260" w:type="dxa"/>
            <w:shd w:val="clear" w:color="auto" w:fill="auto"/>
          </w:tcPr>
          <w:p w:rsidR="00FC6124" w:rsidRPr="0003010B" w:rsidRDefault="005B7A99" w:rsidP="0003010B">
            <w:pPr>
              <w:tabs>
                <w:tab w:val="center" w:pos="4680"/>
              </w:tabs>
              <w:jc w:val="center"/>
              <w:rPr>
                <w:rFonts w:ascii="Times New Roman" w:hAnsi="Times New Roman" w:cs="Times New Roman"/>
                <w:sz w:val="20"/>
              </w:rPr>
            </w:pPr>
            <w:r>
              <w:rPr>
                <w:rFonts w:ascii="Times New Roman" w:hAnsi="Times New Roman" w:cs="Times New Roman"/>
                <w:sz w:val="20"/>
              </w:rPr>
              <w:t>56.7%</w:t>
            </w:r>
          </w:p>
        </w:tc>
        <w:tc>
          <w:tcPr>
            <w:tcW w:w="1440" w:type="dxa"/>
            <w:shd w:val="clear" w:color="auto" w:fill="auto"/>
          </w:tcPr>
          <w:p w:rsidR="00FC6124" w:rsidRPr="0003010B" w:rsidRDefault="00FC6124"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-8.4%</w:t>
            </w:r>
          </w:p>
        </w:tc>
        <w:tc>
          <w:tcPr>
            <w:tcW w:w="6416" w:type="dxa"/>
            <w:shd w:val="clear" w:color="auto" w:fill="auto"/>
          </w:tcPr>
          <w:p w:rsidR="00FC6124" w:rsidRPr="0003010B" w:rsidRDefault="00FC6124"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Debt, debt, and more debt. Throw in disputes with China</w:t>
            </w:r>
            <w:r w:rsidR="00323061" w:rsidRPr="0003010B">
              <w:rPr>
                <w:rFonts w:ascii="Times New Roman" w:hAnsi="Times New Roman" w:cs="Times New Roman"/>
                <w:sz w:val="20"/>
              </w:rPr>
              <w:t xml:space="preserve"> &amp; aging population</w:t>
            </w:r>
          </w:p>
        </w:tc>
      </w:tr>
      <w:tr w:rsidR="005B7A99" w:rsidRPr="0003010B" w:rsidTr="005B7A99">
        <w:tc>
          <w:tcPr>
            <w:tcW w:w="1260" w:type="dxa"/>
            <w:tcBorders>
              <w:top w:val="single" w:sz="8" w:space="0" w:color="4F81BD"/>
              <w:left w:val="single" w:sz="8" w:space="0" w:color="4F81BD"/>
              <w:bottom w:val="single" w:sz="8" w:space="0" w:color="4F81BD"/>
            </w:tcBorders>
            <w:shd w:val="clear" w:color="auto" w:fill="auto"/>
          </w:tcPr>
          <w:p w:rsidR="00FC6124" w:rsidRPr="0003010B" w:rsidRDefault="00FC6124"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Europe</w:t>
            </w:r>
          </w:p>
        </w:tc>
        <w:tc>
          <w:tcPr>
            <w:tcW w:w="1260" w:type="dxa"/>
            <w:tcBorders>
              <w:top w:val="single" w:sz="8" w:space="0" w:color="4F81BD"/>
              <w:bottom w:val="single" w:sz="8" w:space="0" w:color="4F81BD"/>
            </w:tcBorders>
            <w:shd w:val="clear" w:color="auto" w:fill="auto"/>
          </w:tcPr>
          <w:p w:rsidR="00FC6124" w:rsidRPr="0003010B" w:rsidRDefault="005B7A99" w:rsidP="0003010B">
            <w:pPr>
              <w:tabs>
                <w:tab w:val="center" w:pos="4680"/>
              </w:tabs>
              <w:jc w:val="center"/>
              <w:rPr>
                <w:rFonts w:ascii="Times New Roman" w:hAnsi="Times New Roman" w:cs="Times New Roman"/>
                <w:sz w:val="20"/>
              </w:rPr>
            </w:pPr>
            <w:r>
              <w:rPr>
                <w:rFonts w:ascii="Times New Roman" w:hAnsi="Times New Roman" w:cs="Times New Roman"/>
                <w:sz w:val="20"/>
              </w:rPr>
              <w:t>14.4%</w:t>
            </w:r>
          </w:p>
        </w:tc>
        <w:tc>
          <w:tcPr>
            <w:tcW w:w="1440" w:type="dxa"/>
            <w:tcBorders>
              <w:top w:val="single" w:sz="8" w:space="0" w:color="4F81BD"/>
              <w:bottom w:val="single" w:sz="8" w:space="0" w:color="4F81BD"/>
            </w:tcBorders>
            <w:shd w:val="clear" w:color="auto" w:fill="auto"/>
          </w:tcPr>
          <w:p w:rsidR="00FC6124" w:rsidRPr="0003010B" w:rsidRDefault="00FC6124"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-3.5%</w:t>
            </w:r>
          </w:p>
        </w:tc>
        <w:tc>
          <w:tcPr>
            <w:tcW w:w="6416" w:type="dxa"/>
            <w:tcBorders>
              <w:top w:val="single" w:sz="8" w:space="0" w:color="4F81BD"/>
              <w:bottom w:val="single" w:sz="8" w:space="0" w:color="4F81BD"/>
              <w:right w:val="single" w:sz="8" w:space="0" w:color="4F81BD"/>
            </w:tcBorders>
            <w:shd w:val="clear" w:color="auto" w:fill="auto"/>
          </w:tcPr>
          <w:p w:rsidR="00FC6124" w:rsidRPr="0003010B" w:rsidRDefault="00FC6124"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Semi-permanent recession, deflation, protests, strikes</w:t>
            </w:r>
            <w:r w:rsidR="00323061" w:rsidRPr="0003010B">
              <w:rPr>
                <w:rFonts w:ascii="Times New Roman" w:hAnsi="Times New Roman" w:cs="Times New Roman"/>
                <w:sz w:val="20"/>
              </w:rPr>
              <w:t>, straightjacket currency</w:t>
            </w:r>
          </w:p>
        </w:tc>
      </w:tr>
      <w:tr w:rsidR="005B7A99" w:rsidRPr="0003010B" w:rsidTr="005B7A99">
        <w:tc>
          <w:tcPr>
            <w:tcW w:w="1260" w:type="dxa"/>
            <w:shd w:val="clear" w:color="auto" w:fill="auto"/>
          </w:tcPr>
          <w:p w:rsidR="00FC6124" w:rsidRPr="0003010B" w:rsidRDefault="00FC6124"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Brazil</w:t>
            </w:r>
          </w:p>
        </w:tc>
        <w:tc>
          <w:tcPr>
            <w:tcW w:w="1260" w:type="dxa"/>
            <w:shd w:val="clear" w:color="auto" w:fill="auto"/>
          </w:tcPr>
          <w:p w:rsidR="00FC6124" w:rsidRPr="0003010B" w:rsidRDefault="005B7A99" w:rsidP="0003010B">
            <w:pPr>
              <w:tabs>
                <w:tab w:val="center" w:pos="4680"/>
              </w:tabs>
              <w:jc w:val="center"/>
              <w:rPr>
                <w:rFonts w:ascii="Times New Roman" w:hAnsi="Times New Roman" w:cs="Times New Roman"/>
                <w:sz w:val="20"/>
              </w:rPr>
            </w:pPr>
            <w:r>
              <w:rPr>
                <w:rFonts w:ascii="Times New Roman" w:hAnsi="Times New Roman" w:cs="Times New Roman"/>
                <w:sz w:val="20"/>
              </w:rPr>
              <w:t>15.5%</w:t>
            </w:r>
          </w:p>
        </w:tc>
        <w:tc>
          <w:tcPr>
            <w:tcW w:w="1440" w:type="dxa"/>
            <w:shd w:val="clear" w:color="auto" w:fill="auto"/>
          </w:tcPr>
          <w:p w:rsidR="00FC6124" w:rsidRPr="0003010B" w:rsidRDefault="00FC6124"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-7.5%</w:t>
            </w:r>
          </w:p>
        </w:tc>
        <w:tc>
          <w:tcPr>
            <w:tcW w:w="6416" w:type="dxa"/>
            <w:shd w:val="clear" w:color="auto" w:fill="auto"/>
          </w:tcPr>
          <w:p w:rsidR="00FC6124" w:rsidRPr="0003010B" w:rsidRDefault="00FC6124"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Protests, currency devaluation, inflation, commodity busts</w:t>
            </w:r>
          </w:p>
        </w:tc>
      </w:tr>
      <w:tr w:rsidR="005B7A99" w:rsidRPr="0003010B" w:rsidTr="005B7A99">
        <w:tc>
          <w:tcPr>
            <w:tcW w:w="1260" w:type="dxa"/>
            <w:tcBorders>
              <w:top w:val="single" w:sz="8" w:space="0" w:color="4F81BD"/>
              <w:left w:val="single" w:sz="8" w:space="0" w:color="4F81BD"/>
              <w:bottom w:val="single" w:sz="8" w:space="0" w:color="4F81BD"/>
            </w:tcBorders>
            <w:shd w:val="clear" w:color="auto" w:fill="auto"/>
          </w:tcPr>
          <w:p w:rsidR="00FC6124" w:rsidRPr="0003010B" w:rsidRDefault="00FC6124"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Mexico</w:t>
            </w:r>
          </w:p>
        </w:tc>
        <w:tc>
          <w:tcPr>
            <w:tcW w:w="1260" w:type="dxa"/>
            <w:tcBorders>
              <w:top w:val="single" w:sz="8" w:space="0" w:color="4F81BD"/>
              <w:bottom w:val="single" w:sz="8" w:space="0" w:color="4F81BD"/>
            </w:tcBorders>
            <w:shd w:val="clear" w:color="auto" w:fill="auto"/>
          </w:tcPr>
          <w:p w:rsidR="00FC6124" w:rsidRPr="0003010B" w:rsidRDefault="005B7A99" w:rsidP="0003010B">
            <w:pPr>
              <w:tabs>
                <w:tab w:val="center" w:pos="4680"/>
              </w:tabs>
              <w:jc w:val="center"/>
              <w:rPr>
                <w:rFonts w:ascii="Times New Roman" w:hAnsi="Times New Roman" w:cs="Times New Roman"/>
                <w:sz w:val="20"/>
              </w:rPr>
            </w:pPr>
            <w:r>
              <w:rPr>
                <w:rFonts w:ascii="Times New Roman" w:hAnsi="Times New Roman" w:cs="Times New Roman"/>
                <w:sz w:val="20"/>
              </w:rPr>
              <w:t>-2.2%</w:t>
            </w:r>
          </w:p>
        </w:tc>
        <w:tc>
          <w:tcPr>
            <w:tcW w:w="1440" w:type="dxa"/>
            <w:tcBorders>
              <w:top w:val="single" w:sz="8" w:space="0" w:color="4F81BD"/>
              <w:bottom w:val="single" w:sz="8" w:space="0" w:color="4F81BD"/>
            </w:tcBorders>
            <w:shd w:val="clear" w:color="auto" w:fill="auto"/>
          </w:tcPr>
          <w:p w:rsidR="00FC6124" w:rsidRPr="0003010B" w:rsidRDefault="00FC6124"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-4.3%</w:t>
            </w:r>
          </w:p>
        </w:tc>
        <w:tc>
          <w:tcPr>
            <w:tcW w:w="6416" w:type="dxa"/>
            <w:tcBorders>
              <w:top w:val="single" w:sz="8" w:space="0" w:color="4F81BD"/>
              <w:bottom w:val="single" w:sz="8" w:space="0" w:color="4F81BD"/>
              <w:right w:val="single" w:sz="8" w:space="0" w:color="4F81BD"/>
            </w:tcBorders>
            <w:shd w:val="clear" w:color="auto" w:fill="auto"/>
          </w:tcPr>
          <w:p w:rsidR="00FC6124" w:rsidRPr="0003010B" w:rsidRDefault="00323061"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Not bad, drug wars and inflation are negatives; economic reforms a plus</w:t>
            </w:r>
          </w:p>
        </w:tc>
      </w:tr>
      <w:tr w:rsidR="005B7A99" w:rsidRPr="0003010B" w:rsidTr="005B7A99">
        <w:tc>
          <w:tcPr>
            <w:tcW w:w="1260" w:type="dxa"/>
            <w:shd w:val="clear" w:color="auto" w:fill="auto"/>
          </w:tcPr>
          <w:p w:rsidR="00FC6124" w:rsidRPr="0003010B" w:rsidRDefault="00FC6124"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Russia</w:t>
            </w:r>
          </w:p>
        </w:tc>
        <w:tc>
          <w:tcPr>
            <w:tcW w:w="1260" w:type="dxa"/>
            <w:shd w:val="clear" w:color="auto" w:fill="auto"/>
          </w:tcPr>
          <w:p w:rsidR="00FC6124" w:rsidRPr="0003010B" w:rsidRDefault="00323061"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-1.2%</w:t>
            </w:r>
          </w:p>
        </w:tc>
        <w:tc>
          <w:tcPr>
            <w:tcW w:w="1440" w:type="dxa"/>
            <w:shd w:val="clear" w:color="auto" w:fill="auto"/>
          </w:tcPr>
          <w:p w:rsidR="00FC6124" w:rsidRPr="0003010B" w:rsidRDefault="00D34496"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-10.5%</w:t>
            </w:r>
          </w:p>
        </w:tc>
        <w:tc>
          <w:tcPr>
            <w:tcW w:w="6416" w:type="dxa"/>
            <w:shd w:val="clear" w:color="auto" w:fill="auto"/>
          </w:tcPr>
          <w:p w:rsidR="00FC6124" w:rsidRPr="0003010B" w:rsidRDefault="00153BD7"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Graft, corruption, erratic rule of law, weird president</w:t>
            </w:r>
            <w:r w:rsidR="00FC6124" w:rsidRPr="0003010B">
              <w:rPr>
                <w:rFonts w:ascii="Times New Roman" w:hAnsi="Times New Roman" w:cs="Times New Roman"/>
                <w:sz w:val="20"/>
              </w:rPr>
              <w:t>, vodka</w:t>
            </w:r>
          </w:p>
        </w:tc>
      </w:tr>
      <w:tr w:rsidR="005B7A99" w:rsidRPr="0003010B" w:rsidTr="005B7A99">
        <w:tc>
          <w:tcPr>
            <w:tcW w:w="1260" w:type="dxa"/>
            <w:tcBorders>
              <w:top w:val="single" w:sz="8" w:space="0" w:color="4F81BD"/>
              <w:left w:val="single" w:sz="8" w:space="0" w:color="4F81BD"/>
              <w:bottom w:val="single" w:sz="8" w:space="0" w:color="4F81BD"/>
            </w:tcBorders>
            <w:shd w:val="clear" w:color="auto" w:fill="auto"/>
          </w:tcPr>
          <w:p w:rsidR="00FC6124" w:rsidRPr="0003010B" w:rsidRDefault="00FC6124"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Hong Kong</w:t>
            </w:r>
          </w:p>
        </w:tc>
        <w:tc>
          <w:tcPr>
            <w:tcW w:w="1260" w:type="dxa"/>
            <w:tcBorders>
              <w:top w:val="single" w:sz="8" w:space="0" w:color="4F81BD"/>
              <w:bottom w:val="single" w:sz="8" w:space="0" w:color="4F81BD"/>
            </w:tcBorders>
            <w:shd w:val="clear" w:color="auto" w:fill="auto"/>
          </w:tcPr>
          <w:p w:rsidR="00FC6124" w:rsidRPr="0003010B" w:rsidRDefault="005B7A99" w:rsidP="0003010B">
            <w:pPr>
              <w:tabs>
                <w:tab w:val="center" w:pos="4680"/>
              </w:tabs>
              <w:jc w:val="center"/>
              <w:rPr>
                <w:rFonts w:ascii="Times New Roman" w:hAnsi="Times New Roman" w:cs="Times New Roman"/>
                <w:sz w:val="20"/>
              </w:rPr>
            </w:pPr>
            <w:r>
              <w:rPr>
                <w:rFonts w:ascii="Times New Roman" w:hAnsi="Times New Roman" w:cs="Times New Roman"/>
                <w:sz w:val="20"/>
              </w:rPr>
              <w:t>2.9%</w:t>
            </w:r>
          </w:p>
        </w:tc>
        <w:tc>
          <w:tcPr>
            <w:tcW w:w="1440" w:type="dxa"/>
            <w:tcBorders>
              <w:top w:val="single" w:sz="8" w:space="0" w:color="4F81BD"/>
              <w:bottom w:val="single" w:sz="8" w:space="0" w:color="4F81BD"/>
            </w:tcBorders>
            <w:shd w:val="clear" w:color="auto" w:fill="auto"/>
          </w:tcPr>
          <w:p w:rsidR="00FC6124" w:rsidRPr="0003010B" w:rsidRDefault="00FC6124"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-5.5%</w:t>
            </w:r>
          </w:p>
        </w:tc>
        <w:tc>
          <w:tcPr>
            <w:tcW w:w="6416" w:type="dxa"/>
            <w:tcBorders>
              <w:top w:val="single" w:sz="8" w:space="0" w:color="4F81BD"/>
              <w:bottom w:val="single" w:sz="8" w:space="0" w:color="4F81BD"/>
              <w:right w:val="single" w:sz="8" w:space="0" w:color="4F81BD"/>
            </w:tcBorders>
            <w:shd w:val="clear" w:color="auto" w:fill="auto"/>
          </w:tcPr>
          <w:p w:rsidR="00FC6124" w:rsidRPr="0003010B" w:rsidRDefault="00323061"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Slowing</w:t>
            </w:r>
            <w:r w:rsidR="00FC6124" w:rsidRPr="0003010B">
              <w:rPr>
                <w:rFonts w:ascii="Times New Roman" w:hAnsi="Times New Roman" w:cs="Times New Roman"/>
                <w:sz w:val="20"/>
              </w:rPr>
              <w:t xml:space="preserve"> growth in China</w:t>
            </w:r>
            <w:r w:rsidR="000E10F8" w:rsidRPr="0003010B">
              <w:rPr>
                <w:rFonts w:ascii="Times New Roman" w:hAnsi="Times New Roman" w:cs="Times New Roman"/>
                <w:sz w:val="20"/>
              </w:rPr>
              <w:t>, overheated real estate markets</w:t>
            </w:r>
          </w:p>
        </w:tc>
      </w:tr>
      <w:tr w:rsidR="005B7A99" w:rsidRPr="0003010B" w:rsidTr="005B7A99">
        <w:tc>
          <w:tcPr>
            <w:tcW w:w="1260" w:type="dxa"/>
            <w:shd w:val="clear" w:color="auto" w:fill="auto"/>
          </w:tcPr>
          <w:p w:rsidR="00FC6124" w:rsidRPr="0003010B" w:rsidRDefault="00FC6124"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India</w:t>
            </w:r>
          </w:p>
        </w:tc>
        <w:tc>
          <w:tcPr>
            <w:tcW w:w="1260" w:type="dxa"/>
            <w:shd w:val="clear" w:color="auto" w:fill="auto"/>
          </w:tcPr>
          <w:p w:rsidR="00FC6124" w:rsidRPr="0003010B" w:rsidRDefault="00D34496"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9.0%</w:t>
            </w:r>
          </w:p>
        </w:tc>
        <w:tc>
          <w:tcPr>
            <w:tcW w:w="1440" w:type="dxa"/>
            <w:shd w:val="clear" w:color="auto" w:fill="auto"/>
          </w:tcPr>
          <w:p w:rsidR="00FC6124" w:rsidRPr="0003010B" w:rsidRDefault="00D34496"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-4.0%</w:t>
            </w:r>
          </w:p>
        </w:tc>
        <w:tc>
          <w:tcPr>
            <w:tcW w:w="6416" w:type="dxa"/>
            <w:shd w:val="clear" w:color="auto" w:fill="auto"/>
          </w:tcPr>
          <w:p w:rsidR="00FC6124" w:rsidRPr="0003010B" w:rsidRDefault="00153BD7"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Cultural impediments, graft</w:t>
            </w:r>
            <w:r w:rsidR="00FC6124" w:rsidRPr="0003010B">
              <w:rPr>
                <w:rFonts w:ascii="Times New Roman" w:hAnsi="Times New Roman" w:cs="Times New Roman"/>
                <w:sz w:val="20"/>
              </w:rPr>
              <w:t xml:space="preserve">, debt, </w:t>
            </w:r>
            <w:r w:rsidRPr="0003010B">
              <w:rPr>
                <w:rFonts w:ascii="Times New Roman" w:hAnsi="Times New Roman" w:cs="Times New Roman"/>
                <w:sz w:val="20"/>
              </w:rPr>
              <w:t>currency issues</w:t>
            </w:r>
            <w:r w:rsidR="00323061" w:rsidRPr="0003010B">
              <w:rPr>
                <w:rFonts w:ascii="Times New Roman" w:hAnsi="Times New Roman" w:cs="Times New Roman"/>
                <w:sz w:val="20"/>
              </w:rPr>
              <w:t>, slow growth, inflation</w:t>
            </w:r>
          </w:p>
        </w:tc>
      </w:tr>
      <w:tr w:rsidR="005B7A99" w:rsidRPr="0003010B" w:rsidTr="005B7A99">
        <w:tc>
          <w:tcPr>
            <w:tcW w:w="1260" w:type="dxa"/>
            <w:tcBorders>
              <w:top w:val="single" w:sz="8" w:space="0" w:color="4F81BD"/>
              <w:left w:val="single" w:sz="8" w:space="0" w:color="4F81BD"/>
              <w:bottom w:val="single" w:sz="8" w:space="0" w:color="4F81BD"/>
            </w:tcBorders>
            <w:shd w:val="clear" w:color="auto" w:fill="auto"/>
          </w:tcPr>
          <w:p w:rsidR="00153BD7" w:rsidRPr="0003010B" w:rsidRDefault="00153BD7"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Canada</w:t>
            </w:r>
          </w:p>
        </w:tc>
        <w:tc>
          <w:tcPr>
            <w:tcW w:w="1260" w:type="dxa"/>
            <w:tcBorders>
              <w:top w:val="single" w:sz="8" w:space="0" w:color="4F81BD"/>
              <w:bottom w:val="single" w:sz="8" w:space="0" w:color="4F81BD"/>
            </w:tcBorders>
            <w:shd w:val="clear" w:color="auto" w:fill="auto"/>
          </w:tcPr>
          <w:p w:rsidR="00153BD7" w:rsidRPr="0003010B" w:rsidRDefault="005B7A99" w:rsidP="0003010B">
            <w:pPr>
              <w:tabs>
                <w:tab w:val="center" w:pos="4680"/>
              </w:tabs>
              <w:jc w:val="center"/>
              <w:rPr>
                <w:rFonts w:ascii="Times New Roman" w:hAnsi="Times New Roman" w:cs="Times New Roman"/>
                <w:sz w:val="20"/>
              </w:rPr>
            </w:pPr>
            <w:r>
              <w:rPr>
                <w:rFonts w:ascii="Times New Roman" w:hAnsi="Times New Roman" w:cs="Times New Roman"/>
                <w:sz w:val="20"/>
              </w:rPr>
              <w:t>9.6%</w:t>
            </w:r>
          </w:p>
        </w:tc>
        <w:tc>
          <w:tcPr>
            <w:tcW w:w="1440" w:type="dxa"/>
            <w:tcBorders>
              <w:top w:val="single" w:sz="8" w:space="0" w:color="4F81BD"/>
              <w:bottom w:val="single" w:sz="8" w:space="0" w:color="4F81BD"/>
            </w:tcBorders>
            <w:shd w:val="clear" w:color="auto" w:fill="auto"/>
          </w:tcPr>
          <w:p w:rsidR="00153BD7" w:rsidRPr="0003010B" w:rsidRDefault="00153BD7"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0.5%</w:t>
            </w:r>
          </w:p>
        </w:tc>
        <w:tc>
          <w:tcPr>
            <w:tcW w:w="6416" w:type="dxa"/>
            <w:tcBorders>
              <w:top w:val="single" w:sz="8" w:space="0" w:color="4F81BD"/>
              <w:bottom w:val="single" w:sz="8" w:space="0" w:color="4F81BD"/>
              <w:right w:val="single" w:sz="8" w:space="0" w:color="4F81BD"/>
            </w:tcBorders>
            <w:shd w:val="clear" w:color="auto" w:fill="auto"/>
          </w:tcPr>
          <w:p w:rsidR="00153BD7" w:rsidRPr="0003010B" w:rsidRDefault="00153BD7"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Not bad at all, commodity prices are biggest concern</w:t>
            </w:r>
          </w:p>
        </w:tc>
      </w:tr>
      <w:tr w:rsidR="005B7A99" w:rsidRPr="0003010B" w:rsidTr="005B7A99">
        <w:tc>
          <w:tcPr>
            <w:tcW w:w="1260" w:type="dxa"/>
            <w:shd w:val="clear" w:color="auto" w:fill="auto"/>
          </w:tcPr>
          <w:p w:rsidR="00D34496" w:rsidRPr="0003010B" w:rsidRDefault="00D34496"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Australia</w:t>
            </w:r>
          </w:p>
        </w:tc>
        <w:tc>
          <w:tcPr>
            <w:tcW w:w="1260" w:type="dxa"/>
            <w:shd w:val="clear" w:color="auto" w:fill="auto"/>
          </w:tcPr>
          <w:p w:rsidR="00D34496" w:rsidRPr="0003010B" w:rsidRDefault="005B7A99" w:rsidP="0003010B">
            <w:pPr>
              <w:tabs>
                <w:tab w:val="center" w:pos="4680"/>
              </w:tabs>
              <w:jc w:val="center"/>
              <w:rPr>
                <w:rFonts w:ascii="Times New Roman" w:hAnsi="Times New Roman" w:cs="Times New Roman"/>
                <w:sz w:val="20"/>
              </w:rPr>
            </w:pPr>
            <w:r>
              <w:rPr>
                <w:rFonts w:ascii="Times New Roman" w:hAnsi="Times New Roman" w:cs="Times New Roman"/>
                <w:sz w:val="20"/>
              </w:rPr>
              <w:t>14.6%</w:t>
            </w:r>
          </w:p>
        </w:tc>
        <w:tc>
          <w:tcPr>
            <w:tcW w:w="1440" w:type="dxa"/>
            <w:shd w:val="clear" w:color="auto" w:fill="auto"/>
          </w:tcPr>
          <w:p w:rsidR="00D34496" w:rsidRPr="0003010B" w:rsidRDefault="00D34496"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-4.2%</w:t>
            </w:r>
          </w:p>
        </w:tc>
        <w:tc>
          <w:tcPr>
            <w:tcW w:w="6416" w:type="dxa"/>
            <w:shd w:val="clear" w:color="auto" w:fill="auto"/>
          </w:tcPr>
          <w:p w:rsidR="00D34496" w:rsidRPr="0003010B" w:rsidRDefault="00D34496"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Commodity busts, drought, changing politics, China influence</w:t>
            </w:r>
          </w:p>
        </w:tc>
      </w:tr>
      <w:tr w:rsidR="005B7A99" w:rsidRPr="0003010B" w:rsidTr="005B7A99">
        <w:tc>
          <w:tcPr>
            <w:tcW w:w="1260" w:type="dxa"/>
            <w:tcBorders>
              <w:top w:val="single" w:sz="8" w:space="0" w:color="4F81BD"/>
              <w:left w:val="single" w:sz="8" w:space="0" w:color="4F81BD"/>
              <w:bottom w:val="single" w:sz="8" w:space="0" w:color="4F81BD"/>
            </w:tcBorders>
            <w:shd w:val="clear" w:color="auto" w:fill="auto"/>
          </w:tcPr>
          <w:p w:rsidR="00153BD7" w:rsidRPr="0003010B" w:rsidRDefault="00153BD7" w:rsidP="0003010B">
            <w:pPr>
              <w:tabs>
                <w:tab w:val="center" w:pos="4680"/>
              </w:tabs>
              <w:jc w:val="both"/>
              <w:rPr>
                <w:rFonts w:ascii="Times New Roman" w:hAnsi="Times New Roman" w:cs="Times New Roman"/>
                <w:b/>
                <w:bCs/>
                <w:sz w:val="20"/>
              </w:rPr>
            </w:pPr>
            <w:r w:rsidRPr="0003010B">
              <w:rPr>
                <w:rFonts w:ascii="Times New Roman" w:hAnsi="Times New Roman" w:cs="Times New Roman"/>
                <w:b/>
                <w:bCs/>
                <w:sz w:val="20"/>
              </w:rPr>
              <w:t xml:space="preserve">U. S. </w:t>
            </w:r>
          </w:p>
        </w:tc>
        <w:tc>
          <w:tcPr>
            <w:tcW w:w="1260" w:type="dxa"/>
            <w:tcBorders>
              <w:top w:val="single" w:sz="8" w:space="0" w:color="4F81BD"/>
              <w:bottom w:val="single" w:sz="8" w:space="0" w:color="4F81BD"/>
            </w:tcBorders>
            <w:shd w:val="clear" w:color="auto" w:fill="auto"/>
          </w:tcPr>
          <w:p w:rsidR="00153BD7" w:rsidRPr="0003010B" w:rsidRDefault="00D34496"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32.4%</w:t>
            </w:r>
          </w:p>
        </w:tc>
        <w:tc>
          <w:tcPr>
            <w:tcW w:w="1440" w:type="dxa"/>
            <w:tcBorders>
              <w:top w:val="single" w:sz="8" w:space="0" w:color="4F81BD"/>
              <w:bottom w:val="single" w:sz="8" w:space="0" w:color="4F81BD"/>
            </w:tcBorders>
            <w:shd w:val="clear" w:color="auto" w:fill="auto"/>
          </w:tcPr>
          <w:p w:rsidR="00153BD7" w:rsidRPr="0003010B" w:rsidRDefault="00153BD7" w:rsidP="0003010B">
            <w:pPr>
              <w:tabs>
                <w:tab w:val="center" w:pos="4680"/>
              </w:tabs>
              <w:jc w:val="center"/>
              <w:rPr>
                <w:rFonts w:ascii="Times New Roman" w:hAnsi="Times New Roman" w:cs="Times New Roman"/>
                <w:sz w:val="20"/>
              </w:rPr>
            </w:pPr>
            <w:r w:rsidRPr="0003010B">
              <w:rPr>
                <w:rFonts w:ascii="Times New Roman" w:hAnsi="Times New Roman" w:cs="Times New Roman"/>
                <w:sz w:val="20"/>
              </w:rPr>
              <w:t>-3.6%</w:t>
            </w:r>
          </w:p>
        </w:tc>
        <w:tc>
          <w:tcPr>
            <w:tcW w:w="6416" w:type="dxa"/>
            <w:tcBorders>
              <w:top w:val="single" w:sz="8" w:space="0" w:color="4F81BD"/>
              <w:bottom w:val="single" w:sz="8" w:space="0" w:color="4F81BD"/>
              <w:right w:val="single" w:sz="8" w:space="0" w:color="4F81BD"/>
            </w:tcBorders>
            <w:shd w:val="clear" w:color="auto" w:fill="auto"/>
          </w:tcPr>
          <w:p w:rsidR="00153BD7" w:rsidRPr="0003010B" w:rsidRDefault="00153BD7" w:rsidP="0003010B">
            <w:pPr>
              <w:tabs>
                <w:tab w:val="center" w:pos="4680"/>
              </w:tabs>
              <w:jc w:val="both"/>
              <w:rPr>
                <w:rFonts w:ascii="Times New Roman" w:hAnsi="Times New Roman" w:cs="Times New Roman"/>
                <w:sz w:val="20"/>
              </w:rPr>
            </w:pPr>
            <w:r w:rsidRPr="0003010B">
              <w:rPr>
                <w:rFonts w:ascii="Times New Roman" w:hAnsi="Times New Roman" w:cs="Times New Roman"/>
                <w:sz w:val="20"/>
              </w:rPr>
              <w:t>Dysfunctional politics</w:t>
            </w:r>
          </w:p>
        </w:tc>
      </w:tr>
    </w:tbl>
    <w:p w:rsidR="00D34496" w:rsidRDefault="00D34496" w:rsidP="00914108">
      <w:pPr>
        <w:tabs>
          <w:tab w:val="center" w:pos="4680"/>
        </w:tabs>
        <w:ind w:left="-360"/>
        <w:jc w:val="both"/>
        <w:rPr>
          <w:rFonts w:ascii="Times New Roman" w:hAnsi="Times New Roman" w:cs="Times New Roman"/>
          <w:sz w:val="20"/>
        </w:rPr>
      </w:pPr>
    </w:p>
    <w:p w:rsidR="00FC6124" w:rsidRDefault="00D34496" w:rsidP="00914108">
      <w:pPr>
        <w:tabs>
          <w:tab w:val="center" w:pos="4680"/>
        </w:tabs>
        <w:ind w:left="-360"/>
        <w:jc w:val="both"/>
        <w:rPr>
          <w:rFonts w:ascii="Times New Roman" w:hAnsi="Times New Roman" w:cs="Times New Roman"/>
          <w:sz w:val="20"/>
        </w:rPr>
      </w:pPr>
      <w:r>
        <w:rPr>
          <w:rFonts w:ascii="Times New Roman" w:hAnsi="Times New Roman" w:cs="Times New Roman"/>
          <w:sz w:val="20"/>
        </w:rPr>
        <w:t xml:space="preserve">Makes </w:t>
      </w:r>
      <w:r w:rsidR="00611D11">
        <w:rPr>
          <w:rFonts w:ascii="Times New Roman" w:hAnsi="Times New Roman" w:cs="Times New Roman"/>
          <w:sz w:val="20"/>
        </w:rPr>
        <w:t>the U.S. look angelic, eh?</w:t>
      </w:r>
    </w:p>
    <w:p w:rsidR="0045737E" w:rsidRPr="005D302A" w:rsidRDefault="005D302A" w:rsidP="005D302A">
      <w:pPr>
        <w:tabs>
          <w:tab w:val="center" w:pos="4680"/>
        </w:tabs>
        <w:ind w:left="-360"/>
        <w:jc w:val="both"/>
        <w:rPr>
          <w:sz w:val="22"/>
          <w:szCs w:val="22"/>
        </w:rPr>
      </w:pPr>
      <w:r>
        <w:pict>
          <v:line id="_x0000_s1027" style="position:absolute;left:0;text-align:left;z-index:251657216" from="-17.45pt,5.6pt" to="494.45pt,5.6pt" strokecolor="#004586" strokeweight=".26mm">
            <v:stroke color2="#ffba79" joinstyle="miter" endcap="square"/>
          </v:line>
        </w:pict>
      </w:r>
    </w:p>
    <w:p w:rsidR="009F3367" w:rsidRDefault="0045737E" w:rsidP="009F3367">
      <w:pPr>
        <w:autoSpaceDE w:val="0"/>
        <w:ind w:left="-360"/>
        <w:jc w:val="both"/>
        <w:rPr>
          <w:rFonts w:ascii="Times New Roman" w:hAnsi="Times New Roman" w:cs="Times New Roman"/>
          <w:sz w:val="21"/>
          <w:szCs w:val="21"/>
        </w:rPr>
      </w:pPr>
      <w:r>
        <w:rPr>
          <w:rFonts w:ascii="Times New Roman" w:hAnsi="Times New Roman" w:cs="Times New Roman"/>
          <w:b/>
          <w:i/>
        </w:rPr>
        <w:t xml:space="preserve">Fixed Income </w:t>
      </w:r>
    </w:p>
    <w:p w:rsidR="00611D11" w:rsidRPr="00E658F4" w:rsidRDefault="005B7A99" w:rsidP="00611D11">
      <w:pPr>
        <w:autoSpaceDE w:val="0"/>
        <w:ind w:left="-360"/>
        <w:jc w:val="both"/>
        <w:rPr>
          <w:rFonts w:ascii="Times New Roman" w:hAnsi="Times New Roman" w:cs="Times New Roman"/>
          <w:sz w:val="20"/>
        </w:rPr>
      </w:pPr>
      <w:r w:rsidRPr="00E658F4">
        <w:rPr>
          <w:rFonts w:ascii="Times New Roman" w:hAnsi="Times New Roman" w:cs="Times New Roman"/>
          <w:sz w:val="20"/>
        </w:rPr>
        <w:t>Last month we said we were evaluating how we should position bond portfolios because we felt that the consensus around bonds</w:t>
      </w:r>
      <w:r w:rsidR="00F9483B" w:rsidRPr="00E658F4">
        <w:rPr>
          <w:rFonts w:ascii="Times New Roman" w:hAnsi="Times New Roman" w:cs="Times New Roman"/>
          <w:sz w:val="20"/>
        </w:rPr>
        <w:t xml:space="preserve"> – calling for higher interest rates</w:t>
      </w:r>
      <w:r w:rsidR="00E658F4">
        <w:rPr>
          <w:rFonts w:ascii="Times New Roman" w:hAnsi="Times New Roman" w:cs="Times New Roman"/>
          <w:sz w:val="20"/>
        </w:rPr>
        <w:t xml:space="preserve"> and big principal losses</w:t>
      </w:r>
      <w:r w:rsidR="00F9483B" w:rsidRPr="00E658F4">
        <w:rPr>
          <w:rFonts w:ascii="Times New Roman" w:hAnsi="Times New Roman" w:cs="Times New Roman"/>
          <w:sz w:val="20"/>
        </w:rPr>
        <w:t xml:space="preserve"> due to the Fed taper -</w:t>
      </w:r>
      <w:r w:rsidRPr="00E658F4">
        <w:rPr>
          <w:rFonts w:ascii="Times New Roman" w:hAnsi="Times New Roman" w:cs="Times New Roman"/>
          <w:sz w:val="20"/>
        </w:rPr>
        <w:t xml:space="preserve"> was wrong. We didn’t need to do much. Bonds ralli</w:t>
      </w:r>
      <w:r w:rsidR="00F9483B" w:rsidRPr="00E658F4">
        <w:rPr>
          <w:rFonts w:ascii="Times New Roman" w:hAnsi="Times New Roman" w:cs="Times New Roman"/>
          <w:sz w:val="20"/>
        </w:rPr>
        <w:t>ed strongly as the year opened, bringing prices of bonds already owned up sharply</w:t>
      </w:r>
      <w:r w:rsidRPr="00E658F4">
        <w:rPr>
          <w:rFonts w:ascii="Times New Roman" w:hAnsi="Times New Roman" w:cs="Times New Roman"/>
          <w:sz w:val="20"/>
        </w:rPr>
        <w:t>. The snap back was sudden. The long bond fell all the way from 3.9% in yield to 3.6%, giving investors a roughly 5</w:t>
      </w:r>
      <w:r w:rsidR="00F9483B" w:rsidRPr="00E658F4">
        <w:rPr>
          <w:rFonts w:ascii="Times New Roman" w:hAnsi="Times New Roman" w:cs="Times New Roman"/>
          <w:sz w:val="20"/>
        </w:rPr>
        <w:t>.4</w:t>
      </w:r>
      <w:r w:rsidRPr="00E658F4">
        <w:rPr>
          <w:rFonts w:ascii="Times New Roman" w:hAnsi="Times New Roman" w:cs="Times New Roman"/>
          <w:sz w:val="20"/>
        </w:rPr>
        <w:t xml:space="preserve">% return exclusive of income. </w:t>
      </w:r>
      <w:r w:rsidR="00F9483B" w:rsidRPr="00E658F4">
        <w:rPr>
          <w:rFonts w:ascii="Times New Roman" w:hAnsi="Times New Roman" w:cs="Times New Roman"/>
          <w:sz w:val="20"/>
        </w:rPr>
        <w:t xml:space="preserve">The ten year, used to set mortgage rates, fell from 2.83% to 2.64%, which was indeed enough to reduce the thirty year mortgage rate. </w:t>
      </w:r>
      <w:r w:rsidR="00611D11" w:rsidRPr="00E658F4">
        <w:rPr>
          <w:rFonts w:ascii="Times New Roman" w:hAnsi="Times New Roman" w:cs="Times New Roman"/>
          <w:sz w:val="20"/>
        </w:rPr>
        <w:t xml:space="preserve">Munis gained nearly what they lost in all of 2013. While we were happy to see this outcome, it happened so fast that at this point we don’t think there’s much more in the offing. Our outlook on interest rates remains benign. We do not see the danger that everyone else does in this market. </w:t>
      </w:r>
      <w:r w:rsidR="00E658F4" w:rsidRPr="00E658F4">
        <w:rPr>
          <w:rFonts w:ascii="Times New Roman" w:hAnsi="Times New Roman" w:cs="Times New Roman"/>
          <w:sz w:val="20"/>
        </w:rPr>
        <w:t xml:space="preserve">For cash flow, relative performance in the bond universe, and </w:t>
      </w:r>
      <w:r w:rsidR="00E658F4">
        <w:rPr>
          <w:rFonts w:ascii="Times New Roman" w:hAnsi="Times New Roman" w:cs="Times New Roman"/>
          <w:sz w:val="20"/>
        </w:rPr>
        <w:t>providing</w:t>
      </w:r>
      <w:r w:rsidR="00E658F4" w:rsidRPr="00E658F4">
        <w:rPr>
          <w:rFonts w:ascii="Times New Roman" w:hAnsi="Times New Roman" w:cs="Times New Roman"/>
          <w:sz w:val="20"/>
        </w:rPr>
        <w:t xml:space="preserve"> diversification</w:t>
      </w:r>
      <w:r w:rsidR="00E658F4">
        <w:rPr>
          <w:rFonts w:ascii="Times New Roman" w:hAnsi="Times New Roman" w:cs="Times New Roman"/>
          <w:sz w:val="20"/>
        </w:rPr>
        <w:t xml:space="preserve"> to</w:t>
      </w:r>
      <w:r w:rsidR="00E658F4" w:rsidRPr="00E658F4">
        <w:rPr>
          <w:rFonts w:ascii="Times New Roman" w:hAnsi="Times New Roman" w:cs="Times New Roman"/>
          <w:sz w:val="20"/>
        </w:rPr>
        <w:t xml:space="preserve"> portfolio</w:t>
      </w:r>
      <w:r w:rsidR="00E658F4">
        <w:rPr>
          <w:rFonts w:ascii="Times New Roman" w:hAnsi="Times New Roman" w:cs="Times New Roman"/>
          <w:sz w:val="20"/>
        </w:rPr>
        <w:t>s</w:t>
      </w:r>
      <w:r w:rsidR="00E658F4" w:rsidRPr="00E658F4">
        <w:rPr>
          <w:rFonts w:ascii="Times New Roman" w:hAnsi="Times New Roman" w:cs="Times New Roman"/>
          <w:sz w:val="20"/>
        </w:rPr>
        <w:t xml:space="preserve"> our favorite picks are munis and corporate issues where credit quality has been a concern but is healing. These </w:t>
      </w:r>
      <w:r w:rsidR="00E658F4">
        <w:rPr>
          <w:rFonts w:ascii="Times New Roman" w:hAnsi="Times New Roman" w:cs="Times New Roman"/>
          <w:sz w:val="20"/>
        </w:rPr>
        <w:t>sectors</w:t>
      </w:r>
      <w:r w:rsidR="00E658F4" w:rsidRPr="00E658F4">
        <w:rPr>
          <w:rFonts w:ascii="Times New Roman" w:hAnsi="Times New Roman" w:cs="Times New Roman"/>
          <w:sz w:val="20"/>
        </w:rPr>
        <w:t xml:space="preserve"> offer better than average possibilities in the context of bond returns. </w:t>
      </w:r>
    </w:p>
    <w:p w:rsidR="0045737E" w:rsidRDefault="0045737E">
      <w:pPr>
        <w:autoSpaceDE w:val="0"/>
        <w:jc w:val="both"/>
        <w:rPr>
          <w:rFonts w:ascii="Times New Roman" w:hAnsi="Times New Roman" w:cs="Times New Roman"/>
          <w:color w:val="0070C0"/>
          <w:sz w:val="21"/>
          <w:szCs w:val="21"/>
        </w:rPr>
      </w:pPr>
      <w:r>
        <w:pict>
          <v:line id="_x0000_s1028" style="position:absolute;left:0;text-align:left;z-index:251658240" from="-18.7pt,4.25pt" to="493.2pt,4.25pt" strokecolor="#004586" strokeweight=".26mm">
            <v:stroke color2="#ffba79" joinstyle="miter" endcap="square"/>
          </v:line>
        </w:pict>
      </w:r>
    </w:p>
    <w:p w:rsidR="0045737E" w:rsidRDefault="0045737E">
      <w:pPr>
        <w:pStyle w:val="BodyTextIndent"/>
        <w:jc w:val="both"/>
        <w:rPr>
          <w:b/>
          <w:i/>
        </w:rPr>
      </w:pPr>
      <w:r>
        <w:rPr>
          <w:b/>
          <w:i/>
        </w:rPr>
        <w:t>International</w:t>
      </w:r>
    </w:p>
    <w:p w:rsidR="000E10F8" w:rsidRPr="00611D11" w:rsidRDefault="000E10F8">
      <w:pPr>
        <w:pStyle w:val="BodyTextIndent"/>
        <w:jc w:val="both"/>
        <w:rPr>
          <w:sz w:val="20"/>
        </w:rPr>
      </w:pPr>
      <w:r w:rsidRPr="00611D11">
        <w:rPr>
          <w:sz w:val="20"/>
        </w:rPr>
        <w:t>Our field guide to foreign markets above shows</w:t>
      </w:r>
      <w:r w:rsidR="00611D11">
        <w:rPr>
          <w:sz w:val="20"/>
        </w:rPr>
        <w:t xml:space="preserve"> January or year to date</w:t>
      </w:r>
      <w:r w:rsidRPr="00611D11">
        <w:rPr>
          <w:sz w:val="20"/>
        </w:rPr>
        <w:t xml:space="preserve"> returns for several major indices around the world</w:t>
      </w:r>
      <w:r w:rsidR="00611D11" w:rsidRPr="00611D11">
        <w:rPr>
          <w:sz w:val="20"/>
        </w:rPr>
        <w:t>, a decidedly negative picture for sure</w:t>
      </w:r>
      <w:r w:rsidRPr="00611D11">
        <w:rPr>
          <w:sz w:val="20"/>
        </w:rPr>
        <w:t xml:space="preserve">. But the big news this year has been in markets we don’t really follow – so-called emerging markets. (One thing to note: emerging markets rarely emerge. I don’t think a single emerging market has emerged in my entire career. I guess it’s sort of like watching evolution happen.) These markets have crashed this year, so if you were thinking down Dow 5% is bad, you </w:t>
      </w:r>
      <w:r w:rsidR="00611D11" w:rsidRPr="00611D11">
        <w:rPr>
          <w:sz w:val="20"/>
        </w:rPr>
        <w:t xml:space="preserve">should be happy you are not invested in the Morgan Stanley Emerging Markets index, down nearly 9% so far this year. That said, for </w:t>
      </w:r>
      <w:r w:rsidR="00611D11" w:rsidRPr="00CD5AD2">
        <w:rPr>
          <w:color w:val="054172"/>
          <w:sz w:val="20"/>
        </w:rPr>
        <w:t>investors</w:t>
      </w:r>
      <w:r w:rsidR="00611D11" w:rsidRPr="00611D11">
        <w:rPr>
          <w:sz w:val="20"/>
        </w:rPr>
        <w:t xml:space="preserve"> of the right temperament, these smaller markets offer huge potential gains when things go well. Predicting when that’s going to happen is impossible of course. Tread carefully. For our part, we continue to stick with Canadian and European issues though we’d be tempted by Mexico if the right stock came along. </w:t>
      </w:r>
    </w:p>
    <w:p w:rsidR="0045737E" w:rsidRPr="000073B8" w:rsidRDefault="0014280D" w:rsidP="00D24F9B">
      <w:pPr>
        <w:pStyle w:val="BodyTextIndent"/>
        <w:jc w:val="both"/>
        <w:rPr>
          <w:sz w:val="16"/>
          <w:szCs w:val="16"/>
        </w:rPr>
      </w:pPr>
      <w:r>
        <w:rPr>
          <w:noProof/>
          <w:sz w:val="21"/>
          <w:szCs w:val="21"/>
          <w:lang w:eastAsia="en-US"/>
        </w:rPr>
        <w:pict>
          <v:line id="_x0000_s1030" style="position:absolute;left:0;text-align:left;z-index:251659264;mso-wrap-edited:f" from="-15.4pt,6.9pt" to="496.5pt,6.9pt" wrapcoords="-63 -2147483648 31 -2147483648 10815 -2147483648 10815 -2147483648 21568 -2147483648 21663 -2147483648 -63 -2147483648" strokecolor="#004586" strokeweight=".26mm">
            <v:stroke color2="#ffba79" joinstyle="miter" endcap="square"/>
            <w10:wrap type="through"/>
          </v:line>
        </w:pict>
      </w:r>
      <w:r>
        <w:t xml:space="preserve"> </w:t>
      </w:r>
    </w:p>
    <w:p w:rsidR="0045737E" w:rsidRPr="008E1DC9" w:rsidRDefault="0045737E" w:rsidP="001B6476">
      <w:pPr>
        <w:pStyle w:val="BodyTextIndent"/>
        <w:jc w:val="both"/>
        <w:rPr>
          <w:i/>
          <w:sz w:val="18"/>
          <w:szCs w:val="18"/>
        </w:rPr>
      </w:pPr>
      <w:r w:rsidRPr="00CD5AD2">
        <w:rPr>
          <w:i/>
          <w:color w:val="054172"/>
          <w:sz w:val="18"/>
          <w:szCs w:val="18"/>
        </w:rPr>
        <w:t>Marketline Monthly</w:t>
      </w:r>
      <w:r w:rsidRPr="008E1DC9">
        <w:rPr>
          <w:color w:val="004586"/>
          <w:sz w:val="18"/>
          <w:szCs w:val="18"/>
        </w:rPr>
        <w:t xml:space="preserve"> </w:t>
      </w:r>
      <w:r w:rsidRPr="008E1DC9">
        <w:rPr>
          <w:sz w:val="18"/>
          <w:szCs w:val="18"/>
        </w:rPr>
        <w:t xml:space="preserve">is produced by </w:t>
      </w:r>
      <w:r w:rsidRPr="008E1DC9">
        <w:rPr>
          <w:b/>
          <w:i/>
          <w:sz w:val="18"/>
          <w:szCs w:val="18"/>
        </w:rPr>
        <w:t>Cascade Investment Advisors, Inc</w:t>
      </w:r>
      <w:r w:rsidRPr="008E1DC9">
        <w:rPr>
          <w:sz w:val="18"/>
          <w:szCs w:val="18"/>
        </w:rPr>
        <w:t xml:space="preserve">. We specialize in value investing for individuals. We apply our approach across markets, looking for low-priced securities that offer above-average potential. We use imagination and hard work to bring performance and personal service to our clients. To learn more, contact Michelle Rand at 1.503.417.1950 or 1.888.443.9015; email to </w:t>
      </w:r>
      <w:hyperlink r:id="rId5" w:history="1">
        <w:r w:rsidRPr="00CD5AD2">
          <w:rPr>
            <w:rStyle w:val="Hyperlink"/>
            <w:color w:val="054172"/>
            <w:sz w:val="18"/>
            <w:szCs w:val="18"/>
          </w:rPr>
          <w:t>Michelle.Rand@cascadeinvestors.com</w:t>
        </w:r>
      </w:hyperlink>
      <w:r w:rsidRPr="00CD5AD2">
        <w:rPr>
          <w:i/>
          <w:iCs/>
          <w:color w:val="054172"/>
          <w:sz w:val="18"/>
          <w:szCs w:val="18"/>
        </w:rPr>
        <w:t>.</w:t>
      </w:r>
      <w:r w:rsidRPr="00CD5AD2">
        <w:rPr>
          <w:color w:val="054172"/>
          <w:sz w:val="18"/>
          <w:szCs w:val="18"/>
        </w:rPr>
        <w:t xml:space="preserve"> </w:t>
      </w:r>
      <w:r w:rsidRPr="008E1DC9">
        <w:rPr>
          <w:sz w:val="18"/>
          <w:szCs w:val="18"/>
        </w:rPr>
        <w:t xml:space="preserve">A full list of stocks we invest in is available on request; mention of specific securities is not investment advice; such investments may or may not be profitable. </w:t>
      </w:r>
    </w:p>
    <w:sectPr w:rsidR="0045737E" w:rsidRPr="008E1DC9" w:rsidSect="00A059F7">
      <w:pgSz w:w="12240" w:h="15840"/>
      <w:pgMar w:top="547" w:right="1166" w:bottom="547" w:left="1166" w:header="720" w:footer="720" w:gutter="0"/>
      <w:pgBorders>
        <w:top w:val="single" w:sz="8" w:space="3" w:color="054172"/>
        <w:left w:val="single" w:sz="8" w:space="31" w:color="054172"/>
        <w:bottom w:val="single" w:sz="8" w:space="0" w:color="054172"/>
        <w:right w:val="single" w:sz="8" w:space="31" w:color="054172"/>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12B68"/>
    <w:rsid w:val="000073B8"/>
    <w:rsid w:val="0003010B"/>
    <w:rsid w:val="0003098A"/>
    <w:rsid w:val="000523F9"/>
    <w:rsid w:val="000551DD"/>
    <w:rsid w:val="000D51AB"/>
    <w:rsid w:val="000E10F8"/>
    <w:rsid w:val="0014280D"/>
    <w:rsid w:val="00153BD7"/>
    <w:rsid w:val="001B4C89"/>
    <w:rsid w:val="001B6476"/>
    <w:rsid w:val="0024168C"/>
    <w:rsid w:val="0024223F"/>
    <w:rsid w:val="0027289E"/>
    <w:rsid w:val="00291BF2"/>
    <w:rsid w:val="002A4214"/>
    <w:rsid w:val="0030245F"/>
    <w:rsid w:val="003130CB"/>
    <w:rsid w:val="00323061"/>
    <w:rsid w:val="003F4A3A"/>
    <w:rsid w:val="00404A86"/>
    <w:rsid w:val="00413355"/>
    <w:rsid w:val="004555A0"/>
    <w:rsid w:val="0045737E"/>
    <w:rsid w:val="00464AEE"/>
    <w:rsid w:val="004E0478"/>
    <w:rsid w:val="00531DB3"/>
    <w:rsid w:val="00551E47"/>
    <w:rsid w:val="005B7A99"/>
    <w:rsid w:val="005D049C"/>
    <w:rsid w:val="005D302A"/>
    <w:rsid w:val="00611D11"/>
    <w:rsid w:val="00621825"/>
    <w:rsid w:val="00661759"/>
    <w:rsid w:val="006A43AF"/>
    <w:rsid w:val="00712B68"/>
    <w:rsid w:val="00775809"/>
    <w:rsid w:val="007C5816"/>
    <w:rsid w:val="00814DFC"/>
    <w:rsid w:val="008A4753"/>
    <w:rsid w:val="008C18D9"/>
    <w:rsid w:val="008D6500"/>
    <w:rsid w:val="008E1DC9"/>
    <w:rsid w:val="00914108"/>
    <w:rsid w:val="00941936"/>
    <w:rsid w:val="00986F39"/>
    <w:rsid w:val="009C07A9"/>
    <w:rsid w:val="009F3367"/>
    <w:rsid w:val="00A059F7"/>
    <w:rsid w:val="00AF4ADB"/>
    <w:rsid w:val="00B912E7"/>
    <w:rsid w:val="00B917D3"/>
    <w:rsid w:val="00BB5253"/>
    <w:rsid w:val="00BE2140"/>
    <w:rsid w:val="00BF6339"/>
    <w:rsid w:val="00C71956"/>
    <w:rsid w:val="00C826AE"/>
    <w:rsid w:val="00CD5AD2"/>
    <w:rsid w:val="00D24F9B"/>
    <w:rsid w:val="00D34496"/>
    <w:rsid w:val="00D855D7"/>
    <w:rsid w:val="00DC2A1B"/>
    <w:rsid w:val="00E13AE6"/>
    <w:rsid w:val="00E658F4"/>
    <w:rsid w:val="00E964DF"/>
    <w:rsid w:val="00EA1D67"/>
    <w:rsid w:val="00EB75BF"/>
    <w:rsid w:val="00EC5CB3"/>
    <w:rsid w:val="00EE68DA"/>
    <w:rsid w:val="00F55623"/>
    <w:rsid w:val="00F9483B"/>
    <w:rsid w:val="00FC6124"/>
    <w:rsid w:val="00FE7248"/>
    <w:rsid w:val="00FF44D9"/>
    <w:rsid w:val="00FF6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00206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ascii="Times" w:eastAsia="Times" w:hAnsi="Times" w:cs="Times"/>
      <w:sz w:val="24"/>
      <w:lang w:eastAsia="ar-SA"/>
    </w:rPr>
  </w:style>
  <w:style w:type="paragraph" w:styleId="Heading1">
    <w:name w:val="heading 1"/>
    <w:basedOn w:val="Normal"/>
    <w:next w:val="Normal"/>
    <w:qFormat/>
    <w:pPr>
      <w:keepNext/>
      <w:numPr>
        <w:numId w:val="1"/>
      </w:numPr>
      <w:jc w:val="center"/>
      <w:outlineLvl w:val="0"/>
    </w:pPr>
    <w:rPr>
      <w:b/>
      <w:i/>
    </w:rPr>
  </w:style>
  <w:style w:type="paragraph" w:styleId="Heading2">
    <w:name w:val="heading 2"/>
    <w:basedOn w:val="Normal"/>
    <w:next w:val="Normal"/>
    <w:qFormat/>
    <w:pPr>
      <w:keepNext/>
      <w:numPr>
        <w:ilvl w:val="1"/>
        <w:numId w:val="1"/>
      </w:numPr>
      <w:ind w:left="-450" w:right="-720" w:firstLine="0"/>
      <w:outlineLvl w:val="1"/>
    </w:pPr>
    <w:rPr>
      <w:b/>
      <w:i/>
      <w:sz w:val="22"/>
    </w:rPr>
  </w:style>
  <w:style w:type="paragraph" w:styleId="Heading3">
    <w:name w:val="heading 3"/>
    <w:basedOn w:val="Normal"/>
    <w:next w:val="Normal"/>
    <w:qFormat/>
    <w:pPr>
      <w:keepNext/>
      <w:numPr>
        <w:ilvl w:val="2"/>
        <w:numId w:val="1"/>
      </w:numPr>
      <w:ind w:left="-450" w:right="-720" w:firstLine="0"/>
      <w:jc w:val="both"/>
      <w:outlineLvl w:val="2"/>
    </w:pPr>
    <w:rPr>
      <w:b/>
      <w:i/>
      <w:sz w:val="2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keepNext/>
      <w:numPr>
        <w:ilvl w:val="5"/>
        <w:numId w:val="1"/>
      </w:numPr>
      <w:ind w:left="-360" w:firstLine="0"/>
      <w:outlineLvl w:val="5"/>
    </w:pPr>
    <w:rPr>
      <w:b/>
      <w:i/>
    </w:rPr>
  </w:style>
  <w:style w:type="paragraph" w:styleId="Heading7">
    <w:name w:val="heading 7"/>
    <w:basedOn w:val="Normal"/>
    <w:next w:val="Normal"/>
    <w:qFormat/>
    <w:pPr>
      <w:keepNext/>
      <w:numPr>
        <w:ilvl w:val="6"/>
        <w:numId w:val="1"/>
      </w:numPr>
      <w:autoSpaceDE w:val="0"/>
      <w:ind w:left="-360" w:firstLine="0"/>
      <w:jc w:val="both"/>
      <w:outlineLvl w:val="6"/>
    </w:pPr>
    <w:rPr>
      <w:i/>
    </w:rPr>
  </w:style>
  <w:style w:type="paragraph" w:styleId="Heading8">
    <w:name w:val="heading 8"/>
    <w:basedOn w:val="Normal"/>
    <w:next w:val="Normal"/>
    <w:qFormat/>
    <w:pPr>
      <w:keepNext/>
      <w:numPr>
        <w:ilvl w:val="7"/>
        <w:numId w:val="1"/>
      </w:numPr>
      <w:ind w:left="-450" w:firstLine="90"/>
      <w:outlineLvl w:val="7"/>
    </w:pPr>
    <w:rPr>
      <w:b/>
      <w:i/>
    </w:rPr>
  </w:style>
  <w:style w:type="paragraph" w:styleId="Heading9">
    <w:name w:val="heading 9"/>
    <w:basedOn w:val="Normal"/>
    <w:next w:val="Normal"/>
    <w:qFormat/>
    <w:pPr>
      <w:keepNext/>
      <w:numPr>
        <w:ilvl w:val="8"/>
        <w:numId w:val="1"/>
      </w:numPr>
      <w:autoSpaceDE w:val="0"/>
      <w:ind w:left="-360" w:firstLine="0"/>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DefaultParagraphFont0">
    <w:name w:val="Default Paragraph Font"/>
  </w:style>
  <w:style w:type="character" w:customStyle="1" w:styleId="Absatz-Standardschriftart">
    <w:name w:val="Absatz-Standardschriftart"/>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Courier New"/>
    </w:rPr>
  </w:style>
  <w:style w:type="paragraph" w:styleId="Caption">
    <w:name w:val="caption"/>
    <w:basedOn w:val="Normal"/>
    <w:qFormat/>
    <w:pPr>
      <w:suppressLineNumbers/>
      <w:spacing w:before="120" w:after="120"/>
    </w:pPr>
    <w:rPr>
      <w:rFonts w:cs="Courier New"/>
      <w:i/>
      <w:iCs/>
      <w:szCs w:val="24"/>
    </w:rPr>
  </w:style>
  <w:style w:type="paragraph" w:customStyle="1" w:styleId="Index">
    <w:name w:val="Index"/>
    <w:basedOn w:val="Normal"/>
    <w:pPr>
      <w:suppressLineNumbers/>
    </w:pPr>
    <w:rPr>
      <w:rFonts w:cs="Courier New"/>
    </w:rPr>
  </w:style>
  <w:style w:type="paragraph" w:styleId="BlockText">
    <w:name w:val="Block Text"/>
    <w:basedOn w:val="Normal"/>
    <w:pPr>
      <w:ind w:left="-450" w:right="-720"/>
      <w:jc w:val="both"/>
    </w:pPr>
    <w:rPr>
      <w:sz w:val="22"/>
    </w:rPr>
  </w:style>
  <w:style w:type="paragraph" w:styleId="Title">
    <w:name w:val="Title"/>
    <w:basedOn w:val="Normal"/>
    <w:next w:val="Subtitle"/>
    <w:qFormat/>
    <w:pPr>
      <w:jc w:val="center"/>
    </w:pPr>
    <w:rPr>
      <w:b/>
      <w:i/>
    </w:rPr>
  </w:style>
  <w:style w:type="paragraph" w:styleId="Subtitle">
    <w:name w:val="Subtitle"/>
    <w:basedOn w:val="Heading"/>
    <w:next w:val="BodyText"/>
    <w:qFormat/>
    <w:pPr>
      <w:jc w:val="center"/>
    </w:pPr>
    <w:rPr>
      <w:i/>
      <w:iCs/>
    </w:rPr>
  </w:style>
  <w:style w:type="paragraph" w:styleId="BodyTextIndent2">
    <w:name w:val="Body Text Indent 2"/>
    <w:basedOn w:val="Normal"/>
    <w:pPr>
      <w:ind w:left="-450"/>
    </w:pPr>
    <w:rPr>
      <w:sz w:val="22"/>
    </w:rPr>
  </w:style>
  <w:style w:type="paragraph" w:styleId="BodyTextIndent3">
    <w:name w:val="Body Text Indent 3"/>
    <w:basedOn w:val="Normal"/>
    <w:pPr>
      <w:spacing w:after="120"/>
      <w:ind w:left="360"/>
    </w:pPr>
    <w:rPr>
      <w:sz w:val="16"/>
    </w:rPr>
  </w:style>
  <w:style w:type="paragraph" w:styleId="BalloonText">
    <w:name w:val="Balloon Text"/>
    <w:basedOn w:val="Normal"/>
    <w:rPr>
      <w:rFonts w:ascii="Tahoma" w:hAnsi="Tahoma" w:cs="Tahoma"/>
      <w:sz w:val="16"/>
    </w:rPr>
  </w:style>
  <w:style w:type="paragraph" w:styleId="BodyTextIndent">
    <w:name w:val="Body Text Indent"/>
    <w:basedOn w:val="Normal"/>
    <w:pPr>
      <w:autoSpaceDE w:val="0"/>
      <w:ind w:left="-360"/>
    </w:pPr>
    <w:rPr>
      <w:rFonts w:ascii="Times New Roman" w:eastAsia="Times New Roman" w:hAnsi="Times New Roman" w:cs="Times New Roman"/>
      <w:sz w:val="22"/>
    </w:rPr>
  </w:style>
  <w:style w:type="table" w:styleId="TableGrid">
    <w:name w:val="Table Grid"/>
    <w:basedOn w:val="TableNormal"/>
    <w:uiPriority w:val="59"/>
    <w:rsid w:val="00FC6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1"/>
    <w:rsid w:val="003230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le.Rand@cascadeinvest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Marketline Monthly</vt:lpstr>
    </vt:vector>
  </TitlesOfParts>
  <Company/>
  <LinksUpToDate>false</LinksUpToDate>
  <CharactersWithSpaces>5391</CharactersWithSpaces>
  <SharedDoc>false</SharedDoc>
  <HLinks>
    <vt:vector size="6" baseType="variant">
      <vt:variant>
        <vt:i4>1441798</vt:i4>
      </vt:variant>
      <vt:variant>
        <vt:i4>0</vt:i4>
      </vt:variant>
      <vt:variant>
        <vt:i4>0</vt:i4>
      </vt:variant>
      <vt:variant>
        <vt:i4>5</vt:i4>
      </vt:variant>
      <vt:variant>
        <vt:lpwstr>mailto:Michelle.Rand@cascadeinvestors.com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Marketline Monthly</dc:title>
  <dc:creator>Michelle Dicus</dc:creator>
  <cp:lastModifiedBy>Cascade</cp:lastModifiedBy>
  <cp:revision>6</cp:revision>
  <cp:lastPrinted>2012-11-08T21:15:00Z</cp:lastPrinted>
  <dcterms:created xsi:type="dcterms:W3CDTF">2014-02-07T18:20:00Z</dcterms:created>
  <dcterms:modified xsi:type="dcterms:W3CDTF">2014-02-07T18:29:00Z</dcterms:modified>
</cp:coreProperties>
</file>